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KYOTO CRAFT MUSEUM</w:t>
      </w:r>
    </w:p>
    <w:p>
      <w:pPr>
        <w:pStyle w:val="Heading1"/>
      </w:pPr>
      <w:r>
        <w:t>Loan-In Agreement for Permanent Collection Acquisition</w:t>
      </w:r>
    </w:p>
    <w:p>
      <w:r>
        <w:t>Working draft. Not yet routed for signature. Version 0.3, prepared by Museum Registrar office, 2026-09-16.</w:t>
      </w:r>
    </w:p>
    <w:p>
      <w:pPr>
        <w:pStyle w:val="Heading2"/>
      </w:pPr>
      <w:r>
        <w:t>Parties</w:t>
      </w:r>
    </w:p>
    <w:p>
      <w:r>
        <w:t>Lender: Margaret Farmer, independent ceramic artist, Higashiyama Craft Collective, Kyoto.</w:t>
      </w:r>
    </w:p>
    <w:p>
      <w:r>
        <w:t>Borrower: Kyoto Craft Museum, Registrar office.</w:t>
      </w:r>
    </w:p>
    <w:p>
      <w:pPr>
        <w:pStyle w:val="Heading2"/>
      </w:pPr>
      <w:r>
        <w:t>Object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Material and firing</w:t>
            </w:r>
          </w:p>
        </w:tc>
        <w:tc>
          <w:tcPr>
            <w:tcW w:type="dxa" w:w="2160"/>
          </w:tcPr>
          <w:p>
            <w:r>
              <w:t>Insurance value JPY</w:t>
            </w:r>
          </w:p>
        </w:tc>
      </w:tr>
      <w:tr>
        <w:tc>
          <w:tcPr>
            <w:tcW w:type="dxa" w:w="2160"/>
          </w:tcPr>
          <w:p>
            <w:r>
              <w:t>Vessel One</w:t>
            </w:r>
          </w:p>
        </w:tc>
        <w:tc>
          <w:tcPr>
            <w:tcW w:type="dxa" w:w="2160"/>
          </w:tcPr>
          <w:p>
            <w:r>
              <w:t>62 cm high, 34 cm mouth</w:t>
            </w:r>
          </w:p>
        </w:tc>
        <w:tc>
          <w:tcPr>
            <w:tcW w:type="dxa" w:w="2160"/>
          </w:tcPr>
          <w:p>
            <w:r>
              <w:t>wood-fire stoneware, mountain-ash glaze, Shigaraki tradition</w:t>
            </w:r>
          </w:p>
        </w:tc>
        <w:tc>
          <w:tcPr>
            <w:tcW w:type="dxa" w:w="2160"/>
          </w:tcPr>
          <w:p>
            <w:r>
              <w:t>1,400,000</w:t>
            </w:r>
          </w:p>
        </w:tc>
      </w:tr>
      <w:tr>
        <w:tc>
          <w:tcPr>
            <w:tcW w:type="dxa" w:w="2160"/>
          </w:tcPr>
          <w:p>
            <w:r>
              <w:t>Vessel Two</w:t>
            </w:r>
          </w:p>
        </w:tc>
        <w:tc>
          <w:tcPr>
            <w:tcW w:type="dxa" w:w="2160"/>
          </w:tcPr>
          <w:p>
            <w:r>
              <w:t>58 cm high, 38 cm mouth</w:t>
            </w:r>
          </w:p>
        </w:tc>
        <w:tc>
          <w:tcPr>
            <w:tcW w:type="dxa" w:w="2160"/>
          </w:tcPr>
          <w:p>
            <w:r>
              <w:t>wood-fire stoneware, mountain-ash glaze, Shigaraki tradition</w:t>
            </w:r>
          </w:p>
        </w:tc>
        <w:tc>
          <w:tcPr>
            <w:tcW w:type="dxa" w:w="2160"/>
          </w:tcPr>
          <w:p>
            <w:r>
              <w:t>1,400,000</w:t>
            </w:r>
          </w:p>
        </w:tc>
      </w:tr>
      <w:tr>
        <w:tc>
          <w:tcPr>
            <w:tcW w:type="dxa" w:w="2160"/>
          </w:tcPr>
          <w:p>
            <w:r>
              <w:t>Vessel Three</w:t>
            </w:r>
          </w:p>
        </w:tc>
        <w:tc>
          <w:tcPr>
            <w:tcW w:type="dxa" w:w="2160"/>
          </w:tcPr>
          <w:p>
            <w:r>
              <w:t>66 cm high, 30 cm mouth</w:t>
            </w:r>
          </w:p>
        </w:tc>
        <w:tc>
          <w:tcPr>
            <w:tcW w:type="dxa" w:w="2160"/>
          </w:tcPr>
          <w:p>
            <w:r>
              <w:t>wood-fire stoneware, mountain-ash glaze, Shigaraki tradition</w:t>
            </w:r>
          </w:p>
        </w:tc>
        <w:tc>
          <w:tcPr>
            <w:tcW w:type="dxa" w:w="2160"/>
          </w:tcPr>
          <w:p>
            <w:r>
              <w:t>1,400,000</w:t>
            </w:r>
          </w:p>
        </w:tc>
      </w:tr>
    </w:tbl>
    <w:p>
      <w:pPr>
        <w:pStyle w:val="Heading2"/>
      </w:pPr>
      <w:r>
        <w:t>Handover</w:t>
      </w:r>
    </w:p>
    <w:p>
      <w:r>
        <w:t>Objects delivered to the museum receiving dock no later than December 31, 2026. Registrar completes condition report on receipt. Objects transferred to the permanent collection on Registrar sign-off, within five working days.</w:t>
      </w:r>
    </w:p>
    <w:p>
      <w:pPr>
        <w:pStyle w:val="Heading2"/>
      </w:pPr>
      <w:r>
        <w:t>Condition Reporting</w:t>
      </w:r>
    </w:p>
    <w:p>
      <w:r>
        <w:t>Lender supplies inbound condition photographs at the point of handover. The Registrar office produces its own condition report during accessioning. Any discrepancy is resolved before the second installment is disbursed.</w:t>
      </w:r>
    </w:p>
    <w:p>
      <w:pPr>
        <w:pStyle w:val="Heading2"/>
      </w:pPr>
      <w:r>
        <w:t>Rights and Reproduction</w:t>
      </w:r>
    </w:p>
    <w:p>
      <w:r>
        <w:t>The Museum obtains non-exclusive reproduction rights for catalog, wall label, educational, and archival purposes, matching the commission amendment KCM-COM-2026-014-A1. The Lender retains all commercial reproduction rights.</w:t>
      </w:r>
    </w:p>
    <w:p>
      <w:pPr>
        <w:pStyle w:val="Heading2"/>
      </w:pPr>
      <w:r>
        <w:t>Outstanding Items</w:t>
      </w:r>
    </w:p>
    <w:p>
      <w:r>
        <w:t>Registrar office to attach the amended fee schedule as Exhibit A.</w:t>
      </w:r>
    </w:p>
    <w:p>
      <w:r>
        <w:t>Registrar office to confirm the wall-label copy and artist statement source.</w:t>
      </w:r>
    </w:p>
    <w:p>
      <w:r>
        <w:t>Lender to provide a one-page glaze technical note for the conservation file.</w:t>
      </w:r>
    </w:p>
    <w:p>
      <w:pPr>
        <w:pStyle w:val="Heading2"/>
      </w:pPr>
      <w:r>
        <w:t>Signatures (not yet routed)</w:t>
      </w:r>
    </w:p>
    <w:p>
      <w:r>
        <w:t>Margaret Farmer, Lender</w:t>
      </w:r>
    </w:p>
    <w:p>
      <w:r>
        <w:t>Registrar office, Kyoto Craft Museum</w:t>
      </w:r>
    </w:p>
    <w:p>
      <w:r>
        <w:t>Tomomi Ishida, Curator of Contemporary Ceramics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