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FS 572 Lecture 5 - Yeast Physiology &amp; Ethanol Pathways</w:t>
      </w:r>
    </w:p>
    <w:p>
      <w:r>
        <w:t>Department of Food Science, UW-Madison. Tue/Thu 2:00-3:15 PM, Babcock Hall.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Describe the Embden-Meyerhof-Parnas (glycolytic) pathway in Saccharomyces cerevisiae.</w:t>
      </w:r>
    </w:p>
    <w:p>
      <w:pPr>
        <w:pStyle w:val="ListBullet"/>
      </w:pPr>
      <w:r>
        <w:t>Explain the Crabtree effect and its relevance to distillery fermentations.</w:t>
      </w:r>
    </w:p>
    <w:p>
      <w:pPr>
        <w:pStyle w:val="ListBullet"/>
      </w:pPr>
      <w:r>
        <w:t>Relate free amino nitrogen (FAN) to yeast nutrition and fermentation health.</w:t>
      </w:r>
    </w:p>
    <w:p>
      <w:pPr>
        <w:pStyle w:val="Heading1"/>
      </w:pPr>
      <w:r>
        <w:t>Key points</w:t>
      </w:r>
    </w:p>
    <w:p>
      <w:r>
        <w:t>Under anaerobic conditions, pyruvate is decarboxylated to acetaldehyde (pyruvate decarboxylase) and reduced to ethanol (alcohol dehydrogenase), regenerating NAD+. Theoretical yield is 0.51 g ethanol per g glucose (Gay-Lussac).</w:t>
      </w:r>
    </w:p>
    <w:p>
      <w:r>
        <w:t>Mash temperature governs the amylase activity that supplies fermentable sugar: beta-amylase favors maltose at ~145F; alpha-amylase liquefies at ~152F. Cut points downstream depend on a clean, complete fermentation.</w:t>
      </w:r>
    </w:p>
    <w:p>
      <w:pPr>
        <w:pStyle w:val="Heading1"/>
      </w:pPr>
      <w:r>
        <w:t>Assessment</w:t>
      </w:r>
    </w:p>
    <w:p>
      <w:r>
        <w:t>Problem set 2: calculate expected ABV from a 1.060 OG wash assuming 80% apparent attenuation.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