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Mentoring Notes</w:t>
      </w:r>
    </w:p>
    <w:p>
      <w:r>
        <w:rPr>
          <w:i/>
          <w:color w:val="595959"/>
          <w:sz w:val="20"/>
        </w:rPr>
        <w:t>1-on-1 sessions outside the platform team - kept private</w:t>
      </w:r>
    </w:p>
    <w:p/>
    <w:p>
      <w:pPr>
        <w:pStyle w:val="Heading2"/>
      </w:pPr>
      <w:r>
        <w:t>Elena Vasquez</w:t>
      </w:r>
    </w:p>
    <w:p>
      <w:r>
        <w:t>Cadence: every other Tuesday, 30 minutes. Focus this quarter is moving from feature work to system thinking.</w:t>
      </w:r>
    </w:p>
    <w:p>
      <w:r>
        <w:t>Session Jan 13, 2026: Walked through her service boundary proposal. Good instincts on data ownership, but she is over-abstracting too early. Reminded her that premature interfaces are a tax you pay before you know the shape of the problem. Homework: ship the concrete version first, refactor when the second caller appears.</w:t>
      </w:r>
    </w:p>
    <w:p>
      <w:r>
        <w:t>Session Jan 27, 2026: She led a design review well. Pushed her to say no to a stakeholder request that would have leaked persistence details into the API. She did it, cleanly. Progress.</w:t>
      </w:r>
    </w:p>
    <w:p>
      <w:pPr>
        <w:pStyle w:val="Heading2"/>
      </w:pPr>
      <w:r>
        <w:t>Jordan Pike</w:t>
      </w:r>
    </w:p>
    <w:p>
      <w:r>
        <w:t>Cadence: weekly, 30 minutes. Focus is debugging confidence and reading unfamiliar code.</w:t>
      </w:r>
    </w:p>
    <w:p>
      <w:r>
        <w:t>Session Feb 3, 2026: Paired on a Kafka consumer lag issue. He jumped to a code rewrite before reading the metrics. Slowed him down, looked at consumer group offsets first, found a rebalancing storm from a bad session timeout. Lesson landed: measure before you cut.</w:t>
      </w:r>
    </w:p>
    <w:p>
      <w:r>
        <w:t>Session Feb 10, 2026: He brought a clean root-cause writeup on his own initiative. Recommending him for the next on-call shadow rotation.</w:t>
      </w:r>
    </w:p>
    <w:p>
      <w:pPr>
        <w:pStyle w:val="Heading2"/>
      </w:pPr>
      <w:r>
        <w:t>Notes to self</w:t>
      </w:r>
    </w:p>
    <w:p>
      <w:r>
        <w:t>Both are ready for more scope. Raise with Sandra at the next staffing sync. Keep the four-plus hours a week protected, this is the work that compounds.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