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Architecture Decision Record (Draft)</w:t>
      </w:r>
    </w:p>
    <w:p>
      <w:r>
        <w:rPr>
          <w:i/>
          <w:color w:val="595959"/>
          <w:sz w:val="20"/>
        </w:rPr>
        <w:t>ADR-048 - Decoupling the Payment Processing Service - Project Phoenix</w:t>
      </w:r>
    </w:p>
    <w:p/>
    <w:p>
      <w:pPr>
        <w:pStyle w:val="Heading2"/>
      </w:pPr>
      <w:r>
        <w:t>Status</w:t>
      </w:r>
    </w:p>
    <w:p>
      <w:r>
        <w:t>Proposed. Pending review with Raj Krishnamurthy and sign-off from Sandra Chen.</w:t>
      </w:r>
    </w:p>
    <w:p>
      <w:pPr>
        <w:pStyle w:val="Heading2"/>
      </w:pPr>
      <w:r>
        <w:t>Context</w:t>
      </w:r>
    </w:p>
    <w:p>
      <w:r>
        <w:t>Project Phoenix has extracted 5 of 14 target services from the Java and Spring Boot monolith, with 3 more in progress. The payment processing service is the current blocker. It is tightly coupled to four other domains: ledger, fraud, notifications, and reconciliation. Synchronous calls across these boundaries make independent deployment impossible and keep the monolith on the critical path for every transaction.</w:t>
      </w:r>
    </w:p>
    <w:p>
      <w:pPr>
        <w:pStyle w:val="Heading2"/>
      </w:pPr>
      <w:r>
        <w:t>Decision</w:t>
      </w:r>
    </w:p>
    <w:p>
      <w:r>
        <w:t>Extract payment processing into a standalone Go service with its own PostgreSQL instance. Replace the four synchronous couplings with Kafka events. Ledger and reconciliation consume a payment.settled event. Fraud moves to an asynchronous pre-authorization check with a timed fallback. Notifications subscribe to the same event stream. We keep a strangler facade in the monolith for a two-release transition window.</w:t>
      </w:r>
    </w:p>
    <w:p>
      <w:pPr>
        <w:pStyle w:val="Heading2"/>
      </w:pPr>
      <w:r>
        <w:t>Alternatives Considered</w:t>
      </w:r>
    </w:p>
    <w:p>
      <w:r>
        <w:t>1. Leave payment in the monolith until the end. Rejected, it blocks the reliability target of 99.95 percent and concentrates risk.</w:t>
      </w:r>
    </w:p>
    <w:p>
      <w:r>
        <w:t>2. Shared database between payment and ledger. Rejected, it reintroduces the coupling we are trying to remove.</w:t>
      </w:r>
    </w:p>
    <w:p>
      <w:r>
        <w:t>3. Pulsar or NATS for the event layer. Rejected, ADR-031 already standardized on Kafka and the team has operational depth there.</w:t>
      </w:r>
    </w:p>
    <w:p>
      <w:pPr>
        <w:pStyle w:val="Heading2"/>
      </w:pPr>
      <w:r>
        <w:t>Consequences</w:t>
      </w:r>
    </w:p>
    <w:p>
      <w:r>
        <w:t>Positive: payment can deploy independently, fraud latency is decoupled from settlement, and the monolith shrinks by roughly 18 percent of its transaction code. Negative: eventual consistency between settlement and reconciliation requires a new monitoring dashboard and a documented replay procedure. Estimated infrastructure impact is within the projected 15 percent AWS increase.</w:t>
      </w:r>
    </w:p>
    <w:p/>
    <w:p>
      <w:r>
        <w:rPr>
          <w:i/>
        </w:rPr>
        <w:t>Author: Jennifer Watson, Principal Software Architect</w:t>
      </w:r>
    </w:p>
    <w:p>
      <w:r>
        <w:rPr>
          <w:i/>
        </w:rPr>
        <w:t>Drafted February 2026. Target completion Q4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