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2"/>
        </w:rPr>
        <w:t>Conference Talk Proposal</w:t>
      </w:r>
    </w:p>
    <w:p>
      <w:r>
        <w:rPr>
          <w:i/>
          <w:color w:val="595959"/>
          <w:sz w:val="20"/>
        </w:rPr>
        <w:t>GopherCon - Event Sourcing in Practice</w:t>
      </w:r>
    </w:p>
    <w:p/>
    <w:p>
      <w:pPr>
        <w:pStyle w:val="Heading2"/>
      </w:pPr>
      <w:r>
        <w:t>Title</w:t>
      </w:r>
    </w:p>
    <w:p>
      <w:r>
        <w:t>From Monolith to Event Streams: Hard-Won Lessons Migrating Payments to Go</w:t>
      </w:r>
    </w:p>
    <w:p>
      <w:pPr>
        <w:pStyle w:val="Heading2"/>
      </w:pPr>
      <w:r>
        <w:t>Speaker</w:t>
      </w:r>
    </w:p>
    <w:p>
      <w:r>
        <w:t>Jennifer Watson, Principal Software Architect, PayStream. Austin, Texas. jennifer.watson@Greenridertech.in</w:t>
      </w:r>
    </w:p>
    <w:p>
      <w:pPr>
        <w:pStyle w:val="Heading2"/>
      </w:pPr>
      <w:r>
        <w:t>Abstract</w:t>
      </w:r>
    </w:p>
    <w:p>
      <w:r>
        <w:t>Event sourcing gets pitched as a silver bullet and adopted as a religion. This talk is the field report from a real migration: a payments platform moving from a Java monolith to Go services on Kafka, while the business kept shipping. We will cover where event sourcing earned its keep, where a plain event-driven design was enough, and the three places we almost over-engineered ourselves into a corner.</w:t>
      </w:r>
    </w:p>
    <w:p>
      <w:pPr>
        <w:pStyle w:val="Heading2"/>
      </w:pPr>
      <w:r>
        <w:t>Outline</w:t>
      </w:r>
    </w:p>
    <w:p>
      <w:pPr>
        <w:pStyle w:val="ListBullet"/>
      </w:pPr>
      <w:r>
        <w:t>The setup: 14 services, a tightly coupled payment domain, and a 99.95 percent uptime target.</w:t>
      </w:r>
    </w:p>
    <w:p>
      <w:pPr>
        <w:pStyle w:val="ListBullet"/>
      </w:pPr>
      <w:r>
        <w:t>Events as the source of truth versus events as notifications, and why the difference matters.</w:t>
      </w:r>
    </w:p>
    <w:p>
      <w:pPr>
        <w:pStyle w:val="ListBullet"/>
      </w:pPr>
      <w:r>
        <w:t>Replay, idempotency, and the reconciliation dashboard we wish we had built on day one.</w:t>
      </w:r>
    </w:p>
    <w:p>
      <w:pPr>
        <w:pStyle w:val="ListBullet"/>
      </w:pPr>
      <w:r>
        <w:t>Kafka over Pulsar and NATS: the boring choice that let the team sleep.</w:t>
      </w:r>
    </w:p>
    <w:p>
      <w:pPr>
        <w:pStyle w:val="ListBullet"/>
      </w:pPr>
      <w:r>
        <w:t>Three over-engineering traps and the simpler designs that beat them.</w:t>
      </w:r>
    </w:p>
    <w:p>
      <w:pPr>
        <w:pStyle w:val="ListBullet"/>
      </w:pPr>
      <w:r>
        <w:t>What I would do differently, and what I would do again without hesitation.</w:t>
      </w:r>
    </w:p>
    <w:p>
      <w:pPr>
        <w:pStyle w:val="Heading2"/>
      </w:pPr>
      <w:r>
        <w:t>Audience and Takeaways</w:t>
      </w:r>
    </w:p>
    <w:p>
      <w:r>
        <w:t>For senior engineers and architects who are mid-migration or about to start one. Attendees leave with a decision framework for when event sourcing is worth the operational cost and when it is cargo-cult complexity.</w:t>
      </w:r>
    </w:p>
    <w:p>
      <w:pPr>
        <w:pStyle w:val="Heading2"/>
      </w:pPr>
      <w:r>
        <w:t>Notes</w:t>
      </w:r>
    </w:p>
    <w:p>
      <w:r>
        <w:t>Length: 30 minutes plus Q and A. No vendor pitch. Based on eight months of production work on Project Phoenix.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