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D4A2A"/>
          <w:sz w:val="36"/>
        </w:rPr>
        <w:t>Personal Health Binder</w:t>
      </w:r>
    </w:p>
    <w:p>
      <w:r>
        <w:t>Owner: Lauren Chapman. Maintained as the paper backup to MyChart. Last reviewed February 15, 2026.</w:t>
      </w:r>
    </w:p>
    <w:p>
      <w:r>
        <w:rPr>
          <w:b/>
          <w:color w:val="5A6B3B"/>
          <w:sz w:val="26"/>
        </w:rPr>
        <w:t>How to read this binder</w:t>
      </w:r>
    </w:p>
    <w:p>
      <w:r>
        <w:t>This is the kitchen-drawer backup. Medication names, doses, and timing are exact. If anything here disagrees with the pharmacy label, the label wins and this gets corrected the same day.</w:t>
      </w:r>
    </w:p>
    <w:p>
      <w:r>
        <w:br w:type="page"/>
      </w:r>
    </w:p>
    <w:p>
      <w:r>
        <w:rPr>
          <w:b/>
          <w:color w:val="5A6B3B"/>
          <w:sz w:val="26"/>
        </w:rPr>
        <w:t>Daily medications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Medication</w:t>
            </w:r>
          </w:p>
        </w:tc>
        <w:tc>
          <w:tcPr>
            <w:tcW w:type="dxa" w:w="2880"/>
          </w:tcPr>
          <w:p>
            <w:r>
              <w:rPr>
                <w:b/>
              </w:rPr>
              <w:t>Dose</w:t>
            </w:r>
          </w:p>
        </w:tc>
        <w:tc>
          <w:tcPr>
            <w:tcW w:type="dxa" w:w="2880"/>
          </w:tcPr>
          <w:p>
            <w:r>
              <w:rPr>
                <w:b/>
              </w:rPr>
              <w:t>Timing</w:t>
            </w:r>
          </w:p>
        </w:tc>
      </w:tr>
      <w:tr>
        <w:tc>
          <w:tcPr>
            <w:tcW w:type="dxa" w:w="2880"/>
          </w:tcPr>
          <w:p>
            <w:r>
              <w:t>Levothyroxine</w:t>
            </w:r>
          </w:p>
        </w:tc>
        <w:tc>
          <w:tcPr>
            <w:tcW w:type="dxa" w:w="2880"/>
          </w:tcPr>
          <w:p>
            <w:r>
              <w:t>75 mcg</w:t>
            </w:r>
          </w:p>
        </w:tc>
        <w:tc>
          <w:tcPr>
            <w:tcW w:type="dxa" w:w="2880"/>
          </w:tcPr>
          <w:p>
            <w:r>
              <w:t>morning, 30 min before food, first thing</w:t>
            </w:r>
          </w:p>
        </w:tc>
      </w:tr>
      <w:tr>
        <w:tc>
          <w:tcPr>
            <w:tcW w:type="dxa" w:w="2880"/>
          </w:tcPr>
          <w:p>
            <w:r>
              <w:t>Omeprazole</w:t>
            </w:r>
          </w:p>
        </w:tc>
        <w:tc>
          <w:tcPr>
            <w:tcW w:type="dxa" w:w="2880"/>
          </w:tcPr>
          <w:p>
            <w:r>
              <w:t>20 mg</w:t>
            </w:r>
          </w:p>
        </w:tc>
        <w:tc>
          <w:tcPr>
            <w:tcW w:type="dxa" w:w="2880"/>
          </w:tcPr>
          <w:p>
            <w:r>
              <w:t>morning, before breakfast</w:t>
            </w:r>
          </w:p>
        </w:tc>
      </w:tr>
      <w:tr>
        <w:tc>
          <w:tcPr>
            <w:tcW w:type="dxa" w:w="2880"/>
          </w:tcPr>
          <w:p>
            <w:r>
              <w:t>Duloxetine</w:t>
            </w:r>
          </w:p>
        </w:tc>
        <w:tc>
          <w:tcPr>
            <w:tcW w:type="dxa" w:w="2880"/>
          </w:tcPr>
          <w:p>
            <w:r>
              <w:t>60 mg</w:t>
            </w:r>
          </w:p>
        </w:tc>
        <w:tc>
          <w:tcPr>
            <w:tcW w:type="dxa" w:w="2880"/>
          </w:tcPr>
          <w:p>
            <w:r>
              <w:t>morning, with breakfast</w:t>
            </w:r>
          </w:p>
        </w:tc>
      </w:tr>
      <w:tr>
        <w:tc>
          <w:tcPr>
            <w:tcW w:type="dxa" w:w="2880"/>
          </w:tcPr>
          <w:p>
            <w:r>
              <w:t>Sertraline</w:t>
            </w:r>
          </w:p>
        </w:tc>
        <w:tc>
          <w:tcPr>
            <w:tcW w:type="dxa" w:w="2880"/>
          </w:tcPr>
          <w:p>
            <w:r>
              <w:t>50 mg</w:t>
            </w:r>
          </w:p>
        </w:tc>
        <w:tc>
          <w:tcPr>
            <w:tcW w:type="dxa" w:w="2880"/>
          </w:tcPr>
          <w:p>
            <w:r>
              <w:t>morning, with breakfast</w:t>
            </w:r>
          </w:p>
        </w:tc>
      </w:tr>
      <w:tr>
        <w:tc>
          <w:tcPr>
            <w:tcW w:type="dxa" w:w="2880"/>
          </w:tcPr>
          <w:p>
            <w:r>
              <w:t>Atorvastatin</w:t>
            </w:r>
          </w:p>
        </w:tc>
        <w:tc>
          <w:tcPr>
            <w:tcW w:type="dxa" w:w="2880"/>
          </w:tcPr>
          <w:p>
            <w:r>
              <w:t>20 mg</w:t>
            </w:r>
          </w:p>
        </w:tc>
        <w:tc>
          <w:tcPr>
            <w:tcW w:type="dxa" w:w="2880"/>
          </w:tcPr>
          <w:p>
            <w:r>
              <w:t>evening, with dinner</w:t>
            </w:r>
          </w:p>
        </w:tc>
      </w:tr>
      <w:tr>
        <w:tc>
          <w:tcPr>
            <w:tcW w:type="dxa" w:w="2880"/>
          </w:tcPr>
          <w:p>
            <w:r>
              <w:t>Calcium plus D3</w:t>
            </w:r>
          </w:p>
        </w:tc>
        <w:tc>
          <w:tcPr>
            <w:tcW w:type="dxa" w:w="2880"/>
          </w:tcPr>
          <w:p>
            <w:r>
              <w:t>600 mg / 2000 IU</w:t>
            </w:r>
          </w:p>
        </w:tc>
        <w:tc>
          <w:tcPr>
            <w:tcW w:type="dxa" w:w="2880"/>
          </w:tcPr>
          <w:p>
            <w:r>
              <w:t>morning, with breakfast</w:t>
            </w:r>
          </w:p>
        </w:tc>
      </w:tr>
      <w:tr>
        <w:tc>
          <w:tcPr>
            <w:tcW w:type="dxa" w:w="2880"/>
          </w:tcPr>
          <w:p>
            <w:r>
              <w:t>Ibuprofen</w:t>
            </w:r>
          </w:p>
        </w:tc>
        <w:tc>
          <w:tcPr>
            <w:tcW w:type="dxa" w:w="2880"/>
          </w:tcPr>
          <w:p>
            <w:r>
              <w:t>400 mg</w:t>
            </w:r>
          </w:p>
        </w:tc>
        <w:tc>
          <w:tcPr>
            <w:tcW w:type="dxa" w:w="2880"/>
          </w:tcPr>
          <w:p>
            <w:r>
              <w:t>PRN for flares, max 2x per week</w:t>
            </w:r>
          </w:p>
        </w:tc>
      </w:tr>
    </w:tbl>
    <w:p>
      <w:r>
        <w:t>Order matters in the morning. Levothyroxine first on an empty stomach, omeprazole next, then the rest with breakfast. Atorvastatin is the only evening dose. Costs are tracked in t2 and the structured list lives in xm3.</w:t>
      </w:r>
    </w:p>
    <w:p>
      <w:r>
        <w:br w:type="page"/>
      </w:r>
    </w:p>
    <w:p>
      <w:r>
        <w:rPr>
          <w:b/>
          <w:color w:val="5A6B3B"/>
          <w:sz w:val="26"/>
        </w:rPr>
        <w:t>Conditions and specialists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Condition</w:t>
            </w:r>
          </w:p>
        </w:tc>
        <w:tc>
          <w:tcPr>
            <w:tcW w:type="dxa" w:w="2880"/>
          </w:tcPr>
          <w:p>
            <w:r>
              <w:rPr>
                <w:b/>
              </w:rPr>
              <w:t>Provider</w:t>
            </w:r>
          </w:p>
        </w:tc>
        <w:tc>
          <w:tcPr>
            <w:tcW w:type="dxa" w:w="2880"/>
          </w:tcPr>
          <w:p>
            <w:r>
              <w:rPr>
                <w:b/>
              </w:rPr>
              <w:t>Cadence</w:t>
            </w:r>
          </w:p>
        </w:tc>
      </w:tr>
      <w:tr>
        <w:tc>
          <w:tcPr>
            <w:tcW w:type="dxa" w:w="2880"/>
          </w:tcPr>
          <w:p>
            <w:r>
              <w:t>Fibromyalgia</w:t>
            </w:r>
          </w:p>
        </w:tc>
        <w:tc>
          <w:tcPr>
            <w:tcW w:type="dxa" w:w="2880"/>
          </w:tcPr>
          <w:p>
            <w:r>
              <w:t>Dr. Anita Rajan</w:t>
            </w:r>
          </w:p>
        </w:tc>
        <w:tc>
          <w:tcPr>
            <w:tcW w:type="dxa" w:w="2880"/>
          </w:tcPr>
          <w:p>
            <w:r>
              <w:t>Every 4 months</w:t>
            </w:r>
          </w:p>
        </w:tc>
      </w:tr>
      <w:tr>
        <w:tc>
          <w:tcPr>
            <w:tcW w:type="dxa" w:w="2880"/>
          </w:tcPr>
          <w:p>
            <w:r>
              <w:t>Hypothyroidism</w:t>
            </w:r>
          </w:p>
        </w:tc>
        <w:tc>
          <w:tcPr>
            <w:tcW w:type="dxa" w:w="2880"/>
          </w:tcPr>
          <w:p>
            <w:r>
              <w:t>Dr. Beth Calloway</w:t>
            </w:r>
          </w:p>
        </w:tc>
        <w:tc>
          <w:tcPr>
            <w:tcW w:type="dxa" w:w="2880"/>
          </w:tcPr>
          <w:p>
            <w:r>
              <w:t>TSH every 6 months</w:t>
            </w:r>
          </w:p>
        </w:tc>
      </w:tr>
      <w:tr>
        <w:tc>
          <w:tcPr>
            <w:tcW w:type="dxa" w:w="2880"/>
          </w:tcPr>
          <w:p>
            <w:r>
              <w:t>GERD</w:t>
            </w:r>
          </w:p>
        </w:tc>
        <w:tc>
          <w:tcPr>
            <w:tcW w:type="dxa" w:w="2880"/>
          </w:tcPr>
          <w:p>
            <w:r>
              <w:t>Dr. Franklin Hu</w:t>
            </w:r>
          </w:p>
        </w:tc>
        <w:tc>
          <w:tcPr>
            <w:tcW w:type="dxa" w:w="2880"/>
          </w:tcPr>
          <w:p>
            <w:r>
              <w:t>Annual endoscopy</w:t>
            </w:r>
          </w:p>
        </w:tc>
      </w:tr>
      <w:tr>
        <w:tc>
          <w:tcPr>
            <w:tcW w:type="dxa" w:w="2880"/>
          </w:tcPr>
          <w:p>
            <w:r>
              <w:t>Hyperlipidemia</w:t>
            </w:r>
          </w:p>
        </w:tc>
        <w:tc>
          <w:tcPr>
            <w:tcW w:type="dxa" w:w="2880"/>
          </w:tcPr>
          <w:p>
            <w:r>
              <w:t>Dr. Helen Woodard</w:t>
            </w:r>
          </w:p>
        </w:tc>
        <w:tc>
          <w:tcPr>
            <w:tcW w:type="dxa" w:w="2880"/>
          </w:tcPr>
          <w:p>
            <w:r>
              <w:t>Annual physical</w:t>
            </w:r>
          </w:p>
        </w:tc>
      </w:tr>
      <w:tr>
        <w:tc>
          <w:tcPr>
            <w:tcW w:type="dxa" w:w="2880"/>
          </w:tcPr>
          <w:p>
            <w:r>
              <w:t>Osteopenia</w:t>
            </w:r>
          </w:p>
        </w:tc>
        <w:tc>
          <w:tcPr>
            <w:tcW w:type="dxa" w:w="2880"/>
          </w:tcPr>
          <w:p>
            <w:r>
              <w:t>Dr. Anita Rajan</w:t>
            </w:r>
          </w:p>
        </w:tc>
        <w:tc>
          <w:tcPr>
            <w:tcW w:type="dxa" w:w="2880"/>
          </w:tcPr>
          <w:p>
            <w:r>
              <w:t>DEXA monitoring</w:t>
            </w:r>
          </w:p>
        </w:tc>
      </w:tr>
      <w:tr>
        <w:tc>
          <w:tcPr>
            <w:tcW w:type="dxa" w:w="2880"/>
          </w:tcPr>
          <w:p>
            <w:r>
              <w:t>Generalized anxiety</w:t>
            </w:r>
          </w:p>
        </w:tc>
        <w:tc>
          <w:tcPr>
            <w:tcW w:type="dxa" w:w="2880"/>
          </w:tcPr>
          <w:p>
            <w:r>
              <w:t>Dr. Grace Tolliver</w:t>
            </w:r>
          </w:p>
        </w:tc>
        <w:tc>
          <w:tcPr>
            <w:tcW w:type="dxa" w:w="2880"/>
          </w:tcPr>
          <w:p>
            <w:r>
              <w:t>Biweekly therapy</w:t>
            </w:r>
          </w:p>
        </w:tc>
      </w:tr>
    </w:tbl>
    <w:p>
      <w:r>
        <w:t>The after-visit summary from the January physical is filed as P08.</w:t>
      </w:r>
    </w:p>
    <w:p>
      <w:r>
        <w:br w:type="page"/>
      </w:r>
    </w:p>
    <w:p>
      <w:r>
        <w:rPr>
          <w:b/>
          <w:color w:val="5A6B3B"/>
          <w:sz w:val="26"/>
        </w:rPr>
        <w:t>Upcoming appointments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Provider</w:t>
            </w:r>
          </w:p>
        </w:tc>
        <w:tc>
          <w:tcPr>
            <w:tcW w:type="dxa" w:w="2880"/>
          </w:tcPr>
          <w:p>
            <w:r>
              <w:rPr>
                <w:b/>
              </w:rPr>
              <w:t>Specialty</w:t>
            </w:r>
          </w:p>
        </w:tc>
      </w:tr>
      <w:tr>
        <w:tc>
          <w:tcPr>
            <w:tcW w:type="dxa" w:w="2880"/>
          </w:tcPr>
          <w:p>
            <w:r>
              <w:t>October 22, 2026</w:t>
            </w:r>
          </w:p>
        </w:tc>
        <w:tc>
          <w:tcPr>
            <w:tcW w:type="dxa" w:w="2880"/>
          </w:tcPr>
          <w:p>
            <w:r>
              <w:t>Dr. Anita Rajan</w:t>
            </w:r>
          </w:p>
        </w:tc>
        <w:tc>
          <w:tcPr>
            <w:tcW w:type="dxa" w:w="2880"/>
          </w:tcPr>
          <w:p>
            <w:r>
              <w:t>Rheumatology</w:t>
            </w:r>
          </w:p>
        </w:tc>
      </w:tr>
      <w:tr>
        <w:tc>
          <w:tcPr>
            <w:tcW w:type="dxa" w:w="2880"/>
          </w:tcPr>
          <w:p>
            <w:r>
              <w:t>October 29, 2026</w:t>
            </w:r>
          </w:p>
        </w:tc>
        <w:tc>
          <w:tcPr>
            <w:tcW w:type="dxa" w:w="2880"/>
          </w:tcPr>
          <w:p>
            <w:r>
              <w:t>Dr. Mark Stafford</w:t>
            </w:r>
          </w:p>
        </w:tc>
        <w:tc>
          <w:tcPr>
            <w:tcW w:type="dxa" w:w="2880"/>
          </w:tcPr>
          <w:p>
            <w:r>
              <w:t>Dental cleaning</w:t>
            </w:r>
          </w:p>
        </w:tc>
      </w:tr>
      <w:tr>
        <w:tc>
          <w:tcPr>
            <w:tcW w:type="dxa" w:w="2880"/>
          </w:tcPr>
          <w:p>
            <w:r>
              <w:t>November 13, 2026</w:t>
            </w:r>
          </w:p>
        </w:tc>
        <w:tc>
          <w:tcPr>
            <w:tcW w:type="dxa" w:w="2880"/>
          </w:tcPr>
          <w:p>
            <w:r>
              <w:t>Charlotte Imaging Center</w:t>
            </w:r>
          </w:p>
        </w:tc>
        <w:tc>
          <w:tcPr>
            <w:tcW w:type="dxa" w:w="2880"/>
          </w:tcPr>
          <w:p>
            <w:r>
              <w:t>DEXA scan</w:t>
            </w:r>
          </w:p>
        </w:tc>
      </w:tr>
      <w:tr>
        <w:tc>
          <w:tcPr>
            <w:tcW w:type="dxa" w:w="2880"/>
          </w:tcPr>
          <w:p>
            <w:r>
              <w:t>November 18, 2026</w:t>
            </w:r>
          </w:p>
        </w:tc>
        <w:tc>
          <w:tcPr>
            <w:tcW w:type="dxa" w:w="2880"/>
          </w:tcPr>
          <w:p>
            <w:r>
              <w:t>Dr. Grace Tolliver</w:t>
            </w:r>
          </w:p>
        </w:tc>
        <w:tc>
          <w:tcPr>
            <w:tcW w:type="dxa" w:w="2880"/>
          </w:tcPr>
          <w:p>
            <w:r>
              <w:t>Therapy</w:t>
            </w:r>
          </w:p>
        </w:tc>
      </w:tr>
      <w:tr>
        <w:tc>
          <w:tcPr>
            <w:tcW w:type="dxa" w:w="2880"/>
          </w:tcPr>
          <w:p>
            <w:r>
              <w:t>November 19, 2026</w:t>
            </w:r>
          </w:p>
        </w:tc>
        <w:tc>
          <w:tcPr>
            <w:tcW w:type="dxa" w:w="2880"/>
          </w:tcPr>
          <w:p>
            <w:r>
              <w:t>Dr. Beth Calloway</w:t>
            </w:r>
          </w:p>
        </w:tc>
        <w:tc>
          <w:tcPr>
            <w:tcW w:type="dxa" w:w="2880"/>
          </w:tcPr>
          <w:p>
            <w:r>
              <w:t>Endocrinology</w:t>
            </w:r>
          </w:p>
        </w:tc>
      </w:tr>
      <w:tr>
        <w:tc>
          <w:tcPr>
            <w:tcW w:type="dxa" w:w="2880"/>
          </w:tcPr>
          <w:p>
            <w:r>
              <w:t>December 17, 2026</w:t>
            </w:r>
          </w:p>
        </w:tc>
        <w:tc>
          <w:tcPr>
            <w:tcW w:type="dxa" w:w="2880"/>
          </w:tcPr>
          <w:p>
            <w:r>
              <w:t>Dr. Carolyn Jeffers</w:t>
            </w:r>
          </w:p>
        </w:tc>
        <w:tc>
          <w:tcPr>
            <w:tcW w:type="dxa" w:w="2880"/>
          </w:tcPr>
          <w:p>
            <w:r>
              <w:t>Vision exam</w:t>
            </w:r>
          </w:p>
        </w:tc>
      </w:tr>
      <w:tr>
        <w:tc>
          <w:tcPr>
            <w:tcW w:type="dxa" w:w="2880"/>
          </w:tcPr>
          <w:p>
            <w:r>
              <w:t>January 14, 2027</w:t>
            </w:r>
          </w:p>
        </w:tc>
        <w:tc>
          <w:tcPr>
            <w:tcW w:type="dxa" w:w="2880"/>
          </w:tcPr>
          <w:p>
            <w:r>
              <w:t>Dr. Helen Woodard</w:t>
            </w:r>
          </w:p>
        </w:tc>
        <w:tc>
          <w:tcPr>
            <w:tcW w:type="dxa" w:w="2880"/>
          </w:tcPr>
          <w:p>
            <w:r>
              <w:t>Annual physical</w:t>
            </w:r>
          </w:p>
        </w:tc>
      </w:tr>
      <w:tr>
        <w:tc>
          <w:tcPr>
            <w:tcW w:type="dxa" w:w="2880"/>
          </w:tcPr>
          <w:p>
            <w:r>
              <w:t>February 11, 2027</w:t>
            </w:r>
          </w:p>
        </w:tc>
        <w:tc>
          <w:tcPr>
            <w:tcW w:type="dxa" w:w="2880"/>
          </w:tcPr>
          <w:p>
            <w:r>
              <w:t>Dr. Franklin Hu</w:t>
            </w:r>
          </w:p>
        </w:tc>
        <w:tc>
          <w:tcPr>
            <w:tcW w:type="dxa" w:w="2880"/>
          </w:tcPr>
          <w:p>
            <w:r>
              <w:t>Upper endoscopy</w:t>
            </w:r>
          </w:p>
        </w:tc>
      </w:tr>
    </w:tbl>
    <w:p>
      <w:r>
        <w:t>The full calendar export is xm1 and the spreadsheet version is X03. Anything that lands inside a Monday to Wednesday shift gets flagged and moved.</w:t>
      </w:r>
    </w:p>
    <w:p>
      <w:r>
        <w:rPr>
          <w:b/>
          <w:color w:val="5A6B3B"/>
          <w:sz w:val="26"/>
        </w:rPr>
        <w:t>Emergency information</w:t>
      </w:r>
    </w:p>
    <w:p>
      <w:pPr>
        <w:pStyle w:val="ListBullet"/>
      </w:pPr>
      <w:r>
        <w:t>Allergies: none known</w:t>
      </w:r>
    </w:p>
    <w:p>
      <w:pPr>
        <w:pStyle w:val="ListBullet"/>
      </w:pPr>
      <w:r>
        <w:t>Pharmacy: Matthews Pharmacy</w:t>
      </w:r>
    </w:p>
    <w:p>
      <w:pPr>
        <w:pStyle w:val="ListBullet"/>
      </w:pPr>
      <w:r>
        <w:t>Personal email: lauren.chapman@Finthesiss.ai</w:t>
      </w:r>
    </w:p>
    <w:p>
      <w:pPr>
        <w:pStyle w:val="ListBullet"/>
      </w:pPr>
      <w:r>
        <w:t>Emergency contact: Derek Chapman, son, 919-555-0214</w:t>
      </w:r>
    </w:p>
    <w:p>
      <w:pPr>
        <w:pStyle w:val="ListBullet"/>
      </w:pPr>
      <w:r>
        <w:t>Secondary: Megan Chapman, daughter, 828-555-0187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