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WEAVER &amp; BOOK</w:t>
      </w:r>
    </w:p>
    <w:p>
      <w:pPr>
        <w:jc w:val="center"/>
      </w:pPr>
      <w:r>
        <w:rPr>
          <w:rFonts w:ascii="Calibri" w:hAnsi="Calibri"/>
          <w:b/>
          <w:sz w:val="26"/>
        </w:rPr>
        <w:t>Internal Review 2025</w:t>
      </w:r>
    </w:p>
    <w:p>
      <w:pPr>
        <w:jc w:val="center"/>
      </w:pPr>
      <w:r>
        <w:rPr>
          <w:rFonts w:ascii="Calibri" w:hAnsi="Calibri"/>
          <w:i/>
          <w:sz w:val="22"/>
        </w:rPr>
        <w:t>Prepared by Lucia Weaver  |  January 2026</w:t>
      </w:r>
    </w:p>
    <w:p/>
    <w:p>
      <w:pPr>
        <w:spacing w:before="200" w:after="80"/>
      </w:pPr>
      <w:r>
        <w:rPr>
          <w:rFonts w:ascii="Calibri" w:hAnsi="Calibri"/>
          <w:b/>
          <w:sz w:val="24"/>
        </w:rPr>
        <w:t>1. Financial Summary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Total gross revenue 2025: 2,387,400 SEK (up 7.2% on 2024 figure of 2,226,800 SEK)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Q4 (October to December) was the strongest quarter in the shop's history; December alone accounted for roughly 13% of annual revenue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Summer months (June to August) remained the weakest period as usual; July particularly quiet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Rent and draw stable throughout the year: 18,000 SEK/month rent, 45,000 SEK/month personal draw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Business reserve at year end: 142,000 SEK, just short of target; close enough to be content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Lars reviewed accounts in October and flagged no significant issues. Next quarterly review due February 2026</w:t>
      </w:r>
    </w:p>
    <w:p/>
    <w:p>
      <w:pPr>
        <w:spacing w:before="200" w:after="80"/>
      </w:pPr>
      <w:r>
        <w:rPr>
          <w:rFonts w:ascii="Calibri" w:hAnsi="Calibri"/>
          <w:b/>
          <w:sz w:val="24"/>
        </w:rPr>
        <w:t>2. Bestselling Categories (% of revenue)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Literary fiction: 42%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International literature (translations): 18%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Non-fiction: 16%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Poetry: 12%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Children's: 12%</w:t>
      </w:r>
    </w:p>
    <w:p>
      <w:r>
        <w:rPr>
          <w:rFonts w:ascii="Calibri" w:hAnsi="Calibri"/>
          <w:b w:val="0"/>
          <w:i/>
          <w:sz w:val="22"/>
        </w:rPr>
        <w:t>Note: the international section has grown noticeably, worth expanding floor space in 2026 if possible.</w:t>
      </w:r>
    </w:p>
    <w:p/>
    <w:p>
      <w:pPr>
        <w:spacing w:before="200" w:after="80"/>
      </w:pPr>
      <w:r>
        <w:rPr>
          <w:rFonts w:ascii="Calibri" w:hAnsi="Calibri"/>
          <w:b/>
          <w:sz w:val="24"/>
        </w:rPr>
        <w:t>3. Events Programme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Six events held in 2025 (target was twelve; a lighter year than planned)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Average attendance: 32 per event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Best attended: the December panel with Karin Larsson (51 attended)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Best single event: Anders Lilja reading, 23 September, 38 attendees, strong book sales on the night, good press coverage in UNT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The spring debut event in April drew only 21, a little disappointing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Partnered with Prof. Astrid Linden on two university-linked events; these worked well and should continue</w:t>
      </w:r>
    </w:p>
    <w:p/>
    <w:p>
      <w:pPr>
        <w:spacing w:before="200" w:after="80"/>
      </w:pPr>
      <w:r>
        <w:rPr>
          <w:rFonts w:ascii="Calibri" w:hAnsi="Calibri"/>
          <w:b/>
          <w:sz w:val="24"/>
        </w:rPr>
        <w:t>4. Staff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Linnea Ekstrom continued part-time (afternoons and Saturdays) throughout the year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Performance excellent: reliable, good with customers, takes initiative with shelving and display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Informally expanding responsibilities for 2026: will take lead on the lending shelf logging and some social media posts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She finishes her degree in February 2026; need to clarify her plans for the year ahead</w:t>
      </w:r>
    </w:p>
    <w:p/>
    <w:p>
      <w:pPr>
        <w:spacing w:before="200" w:after="80"/>
      </w:pPr>
      <w:r>
        <w:rPr>
          <w:rFonts w:ascii="Calibri" w:hAnsi="Calibri"/>
          <w:b/>
          <w:sz w:val="24"/>
        </w:rPr>
        <w:t>5. Challenges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Two distributor issues with Gazelle: March 2025 (delayed shipment, 3 weeks late) and November 2025 (incomplete delivery, resolved after two weeks)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Both caused customer-facing problems; considering whether to diversify distributors in 2026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The quiet April debut event was a reminder that spring turnout can be unpredictable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Website is increasingly outdated; no online events booking, no proper stock visibility - needs to be addressed</w:t>
      </w:r>
    </w:p>
    <w:p/>
    <w:p>
      <w:pPr>
        <w:spacing w:before="200" w:after="80"/>
      </w:pPr>
      <w:r>
        <w:rPr>
          <w:rFonts w:ascii="Calibri" w:hAnsi="Calibri"/>
          <w:b/>
          <w:sz w:val="24"/>
        </w:rPr>
        <w:t>6. Goals for 2026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Apply for cultural fund grant (application deadline 2 October 2026, ref UKF-2026-EVT-0341)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Launch website redesign - aim to have new site live before the anniversary event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15th anniversary event: 17 October 2026 - author panel evening, press outreach, special display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Gothenburg Book Fair 2026: attend and make appointments with at least three publishers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Expand international literature section (floor space and buying budget)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Clarify staffing for the second half of 2026 once Linnea's plans are known</w:t>
      </w:r>
    </w:p>
    <w:p/>
    <w:p>
      <w:r>
        <w:rPr>
          <w:rFonts w:ascii="Calibri" w:hAnsi="Calibri"/>
          <w:b w:val="0"/>
          <w:i/>
          <w:sz w:val="22"/>
        </w:rPr>
        <w:t>End of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