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European Volcanic Gas Network (EU-VGAS)</w:t>
      </w:r>
    </w:p>
    <w:p>
      <w:r>
        <w:rPr>
          <w:rFonts w:ascii="Times New Roman" w:hAnsi="Times New Roman"/>
          <w:b/>
          <w:sz w:val="26"/>
        </w:rPr>
        <w:t>Year 2 Progress Report</w:t>
      </w:r>
    </w:p>
    <w:p>
      <w:r>
        <w:rPr>
          <w:rFonts w:ascii="Times New Roman" w:hAnsi="Times New Roman"/>
          <w:b/>
          <w:sz w:val="22"/>
        </w:rPr>
        <w:t xml:space="preserve">Reporting period:  </w:t>
      </w:r>
      <w:r>
        <w:rPr>
          <w:rFonts w:ascii="Times New Roman" w:hAnsi="Times New Roman"/>
          <w:sz w:val="22"/>
        </w:rPr>
        <w:t>Project year 2, calendar year 2025</w:t>
      </w:r>
    </w:p>
    <w:p>
      <w:r>
        <w:rPr>
          <w:rFonts w:ascii="Times New Roman" w:hAnsi="Times New Roman"/>
          <w:b/>
          <w:sz w:val="22"/>
        </w:rPr>
        <w:t xml:space="preserve">Co-leads:  </w:t>
      </w:r>
      <w:r>
        <w:rPr>
          <w:rFonts w:ascii="Times New Roman" w:hAnsi="Times New Roman"/>
          <w:sz w:val="22"/>
        </w:rPr>
        <w:t>Martha Glass (ÍJE, Iceland) and Dr. Marco Bianchi (IVO, Italy)</w:t>
      </w:r>
    </w:p>
    <w:p>
      <w:r>
        <w:rPr>
          <w:rFonts w:ascii="Times New Roman" w:hAnsi="Times New Roman"/>
          <w:b/>
          <w:sz w:val="22"/>
        </w:rPr>
        <w:t xml:space="preserve">Consortium:  </w:t>
      </w:r>
      <w:r>
        <w:rPr>
          <w:rFonts w:ascii="Times New Roman" w:hAnsi="Times New Roman"/>
          <w:sz w:val="22"/>
        </w:rPr>
        <w:t>Eight European volcano observatories</w:t>
      </w:r>
    </w:p>
    <w:p>
      <w:r>
        <w:rPr>
          <w:rFonts w:ascii="Times New Roman" w:hAnsi="Times New Roman"/>
          <w:b/>
          <w:sz w:val="22"/>
        </w:rPr>
        <w:t xml:space="preserve">Report date:  </w:t>
      </w:r>
      <w:r>
        <w:rPr>
          <w:rFonts w:ascii="Times New Roman" w:hAnsi="Times New Roman"/>
          <w:sz w:val="22"/>
        </w:rPr>
        <w:t>10 February 2026</w:t>
      </w:r>
    </w:p>
    <w:p>
      <w:r>
        <w:rPr>
          <w:rFonts w:ascii="Times New Roman" w:hAnsi="Times New Roman"/>
          <w:b/>
          <w:sz w:val="22"/>
        </w:rPr>
        <w:t xml:space="preserve">Grant reference:  </w:t>
      </w:r>
      <w:r>
        <w:rPr>
          <w:rFonts w:ascii="Times New Roman" w:hAnsi="Times New Roman"/>
          <w:sz w:val="22"/>
        </w:rPr>
        <w:t>EU-VGAS-2024-0117</w:t>
      </w:r>
    </w:p>
    <w:p/>
    <w:p>
      <w:r>
        <w:rPr>
          <w:rFonts w:ascii="Times New Roman" w:hAnsi="Times New Roman"/>
          <w:b/>
          <w:sz w:val="26"/>
        </w:rPr>
        <w:t>1  Summary</w:t>
      </w:r>
    </w:p>
    <w:p>
      <w:r>
        <w:rPr>
          <w:rFonts w:ascii="Times New Roman" w:hAnsi="Times New Roman"/>
          <w:b w:val="0"/>
          <w:i w:val="0"/>
          <w:sz w:val="22"/>
        </w:rPr>
        <w:t>The network completed its second year on schedule. The standardized gas monitoring protocol reached version 2 and is now adopted at six of the eight partner sites, with the remaining two committed to adoption early in year 3. The shared real time data platform moved from pilot to routine operation and now ingests sulphur dioxide and carbon dioxide measurements from all partners. Researcher uptake on the public portal grew steadily through the year and rose sharply during periods of Reykjanes activity.</w:t>
      </w:r>
    </w:p>
    <w:p>
      <w:r>
        <w:rPr>
          <w:rFonts w:ascii="Times New Roman" w:hAnsi="Times New Roman"/>
          <w:b/>
          <w:sz w:val="26"/>
        </w:rPr>
        <w:t>2  Work package status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WP</w:t>
            </w:r>
          </w:p>
        </w:tc>
        <w:tc>
          <w:tcPr>
            <w:tcW w:type="dxa" w:w="2340"/>
          </w:tcPr>
          <w:p>
            <w:r/>
            <w:r>
              <w:rPr>
                <w:rFonts w:ascii="Times New Roman" w:hAnsi="Times New Roman"/>
                <w:b/>
                <w:sz w:val="20"/>
              </w:rPr>
              <w:t>Title</w:t>
            </w:r>
          </w:p>
        </w:tc>
        <w:tc>
          <w:tcPr>
            <w:tcW w:type="dxa" w:w="2340"/>
          </w:tcPr>
          <w:p>
            <w:r/>
            <w:r>
              <w:rPr>
                <w:rFonts w:ascii="Times New Roman" w:hAnsi="Times New Roman"/>
                <w:b/>
                <w:sz w:val="20"/>
              </w:rPr>
              <w:t>Lead</w:t>
            </w:r>
          </w:p>
        </w:tc>
        <w:tc>
          <w:tcPr>
            <w:tcW w:type="dxa" w:w="2340"/>
          </w:tcPr>
          <w:p>
            <w:r/>
            <w:r>
              <w:rPr>
                <w:rFonts w:ascii="Times New Roman" w:hAnsi="Times New Roman"/>
                <w:b/>
                <w:sz w:val="20"/>
              </w:rPr>
              <w:t>Status</w:t>
            </w:r>
          </w:p>
        </w:tc>
      </w:tr>
      <w:tr>
        <w:tc>
          <w:tcPr>
            <w:tcW w:type="dxa" w:w="2340"/>
          </w:tcPr>
          <w:p>
            <w:r/>
            <w:r>
              <w:rPr>
                <w:rFonts w:ascii="Times New Roman" w:hAnsi="Times New Roman"/>
                <w:sz w:val="20"/>
              </w:rPr>
              <w:t>WP1</w:t>
            </w:r>
          </w:p>
        </w:tc>
        <w:tc>
          <w:tcPr>
            <w:tcW w:type="dxa" w:w="2340"/>
          </w:tcPr>
          <w:p>
            <w:r/>
            <w:r>
              <w:rPr>
                <w:rFonts w:ascii="Times New Roman" w:hAnsi="Times New Roman"/>
                <w:sz w:val="20"/>
              </w:rPr>
              <w:t>Standardized protocols</w:t>
            </w:r>
          </w:p>
        </w:tc>
        <w:tc>
          <w:tcPr>
            <w:tcW w:type="dxa" w:w="2340"/>
          </w:tcPr>
          <w:p>
            <w:r/>
            <w:r>
              <w:rPr>
                <w:rFonts w:ascii="Times New Roman" w:hAnsi="Times New Roman"/>
                <w:sz w:val="20"/>
              </w:rPr>
              <w:t>IVO</w:t>
            </w:r>
          </w:p>
        </w:tc>
        <w:tc>
          <w:tcPr>
            <w:tcW w:type="dxa" w:w="2340"/>
          </w:tcPr>
          <w:p>
            <w:r/>
            <w:r>
              <w:rPr>
                <w:rFonts w:ascii="Times New Roman" w:hAnsi="Times New Roman"/>
                <w:sz w:val="20"/>
              </w:rPr>
              <w:t>On track, v2 released</w:t>
            </w:r>
          </w:p>
        </w:tc>
      </w:tr>
      <w:tr>
        <w:tc>
          <w:tcPr>
            <w:tcW w:type="dxa" w:w="2340"/>
          </w:tcPr>
          <w:p>
            <w:r/>
            <w:r>
              <w:rPr>
                <w:rFonts w:ascii="Times New Roman" w:hAnsi="Times New Roman"/>
                <w:sz w:val="20"/>
              </w:rPr>
              <w:t>WP2</w:t>
            </w:r>
          </w:p>
        </w:tc>
        <w:tc>
          <w:tcPr>
            <w:tcW w:type="dxa" w:w="2340"/>
          </w:tcPr>
          <w:p>
            <w:r/>
            <w:r>
              <w:rPr>
                <w:rFonts w:ascii="Times New Roman" w:hAnsi="Times New Roman"/>
                <w:sz w:val="20"/>
              </w:rPr>
              <w:t>Shared data platform</w:t>
            </w:r>
          </w:p>
        </w:tc>
        <w:tc>
          <w:tcPr>
            <w:tcW w:type="dxa" w:w="2340"/>
          </w:tcPr>
          <w:p>
            <w:r/>
            <w:r>
              <w:rPr>
                <w:rFonts w:ascii="Times New Roman" w:hAnsi="Times New Roman"/>
                <w:sz w:val="20"/>
              </w:rPr>
              <w:t>ÍJE</w:t>
            </w:r>
          </w:p>
        </w:tc>
        <w:tc>
          <w:tcPr>
            <w:tcW w:type="dxa" w:w="2340"/>
          </w:tcPr>
          <w:p>
            <w:r/>
            <w:r>
              <w:rPr>
                <w:rFonts w:ascii="Times New Roman" w:hAnsi="Times New Roman"/>
                <w:sz w:val="20"/>
              </w:rPr>
              <w:t>On track, in routine use</w:t>
            </w:r>
          </w:p>
        </w:tc>
      </w:tr>
      <w:tr>
        <w:tc>
          <w:tcPr>
            <w:tcW w:type="dxa" w:w="2340"/>
          </w:tcPr>
          <w:p>
            <w:r/>
            <w:r>
              <w:rPr>
                <w:rFonts w:ascii="Times New Roman" w:hAnsi="Times New Roman"/>
                <w:sz w:val="20"/>
              </w:rPr>
              <w:t>WP3</w:t>
            </w:r>
          </w:p>
        </w:tc>
        <w:tc>
          <w:tcPr>
            <w:tcW w:type="dxa" w:w="2340"/>
          </w:tcPr>
          <w:p>
            <w:r/>
            <w:r>
              <w:rPr>
                <w:rFonts w:ascii="Times New Roman" w:hAnsi="Times New Roman"/>
                <w:sz w:val="20"/>
              </w:rPr>
              <w:t>Cross calibration</w:t>
            </w:r>
          </w:p>
        </w:tc>
        <w:tc>
          <w:tcPr>
            <w:tcW w:type="dxa" w:w="2340"/>
          </w:tcPr>
          <w:p>
            <w:r/>
            <w:r>
              <w:rPr>
                <w:rFonts w:ascii="Times New Roman" w:hAnsi="Times New Roman"/>
                <w:sz w:val="20"/>
              </w:rPr>
              <w:t>Partner 4</w:t>
            </w:r>
          </w:p>
        </w:tc>
        <w:tc>
          <w:tcPr>
            <w:tcW w:type="dxa" w:w="2340"/>
          </w:tcPr>
          <w:p>
            <w:r/>
            <w:r>
              <w:rPr>
                <w:rFonts w:ascii="Times New Roman" w:hAnsi="Times New Roman"/>
                <w:sz w:val="20"/>
              </w:rPr>
              <w:t>On track</w:t>
            </w:r>
          </w:p>
        </w:tc>
      </w:tr>
      <w:tr>
        <w:tc>
          <w:tcPr>
            <w:tcW w:type="dxa" w:w="2340"/>
          </w:tcPr>
          <w:p>
            <w:r/>
            <w:r>
              <w:rPr>
                <w:rFonts w:ascii="Times New Roman" w:hAnsi="Times New Roman"/>
                <w:sz w:val="20"/>
              </w:rPr>
              <w:t>WP4</w:t>
            </w:r>
          </w:p>
        </w:tc>
        <w:tc>
          <w:tcPr>
            <w:tcW w:type="dxa" w:w="2340"/>
          </w:tcPr>
          <w:p>
            <w:r/>
            <w:r>
              <w:rPr>
                <w:rFonts w:ascii="Times New Roman" w:hAnsi="Times New Roman"/>
                <w:sz w:val="20"/>
              </w:rPr>
              <w:t>Public portal and outreach</w:t>
            </w:r>
          </w:p>
        </w:tc>
        <w:tc>
          <w:tcPr>
            <w:tcW w:type="dxa" w:w="2340"/>
          </w:tcPr>
          <w:p>
            <w:r/>
            <w:r>
              <w:rPr>
                <w:rFonts w:ascii="Times New Roman" w:hAnsi="Times New Roman"/>
                <w:sz w:val="20"/>
              </w:rPr>
              <w:t>ÍJE</w:t>
            </w:r>
          </w:p>
        </w:tc>
        <w:tc>
          <w:tcPr>
            <w:tcW w:type="dxa" w:w="2340"/>
          </w:tcPr>
          <w:p>
            <w:r/>
            <w:r>
              <w:rPr>
                <w:rFonts w:ascii="Times New Roman" w:hAnsi="Times New Roman"/>
                <w:sz w:val="20"/>
              </w:rPr>
              <w:t>Ahead of plan</w:t>
            </w:r>
          </w:p>
        </w:tc>
      </w:tr>
      <w:tr>
        <w:tc>
          <w:tcPr>
            <w:tcW w:type="dxa" w:w="2340"/>
          </w:tcPr>
          <w:p>
            <w:r/>
            <w:r>
              <w:rPr>
                <w:rFonts w:ascii="Times New Roman" w:hAnsi="Times New Roman"/>
                <w:sz w:val="20"/>
              </w:rPr>
              <w:t>WP5</w:t>
            </w:r>
          </w:p>
        </w:tc>
        <w:tc>
          <w:tcPr>
            <w:tcW w:type="dxa" w:w="2340"/>
          </w:tcPr>
          <w:p>
            <w:r/>
            <w:r>
              <w:rPr>
                <w:rFonts w:ascii="Times New Roman" w:hAnsi="Times New Roman"/>
                <w:sz w:val="20"/>
              </w:rPr>
              <w:t>Annual intercomparison</w:t>
            </w:r>
          </w:p>
        </w:tc>
        <w:tc>
          <w:tcPr>
            <w:tcW w:type="dxa" w:w="2340"/>
          </w:tcPr>
          <w:p>
            <w:r/>
            <w:r>
              <w:rPr>
                <w:rFonts w:ascii="Times New Roman" w:hAnsi="Times New Roman"/>
                <w:sz w:val="20"/>
              </w:rPr>
              <w:t>IVO</w:t>
            </w:r>
          </w:p>
        </w:tc>
        <w:tc>
          <w:tcPr>
            <w:tcW w:type="dxa" w:w="2340"/>
          </w:tcPr>
          <w:p>
            <w:r/>
            <w:r>
              <w:rPr>
                <w:rFonts w:ascii="Times New Roman" w:hAnsi="Times New Roman"/>
                <w:sz w:val="20"/>
              </w:rPr>
              <w:t>Completed for 2025</w:t>
            </w:r>
          </w:p>
        </w:tc>
      </w:tr>
    </w:tbl>
    <w:p/>
    <w:p>
      <w:r>
        <w:rPr>
          <w:rFonts w:ascii="Times New Roman" w:hAnsi="Times New Roman"/>
          <w:b/>
          <w:sz w:val="26"/>
        </w:rPr>
        <w:t>3  Deliverables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ID</w:t>
            </w:r>
          </w:p>
        </w:tc>
        <w:tc>
          <w:tcPr>
            <w:tcW w:type="dxa" w:w="2340"/>
          </w:tcPr>
          <w:p>
            <w:r/>
            <w:r>
              <w:rPr>
                <w:rFonts w:ascii="Times New Roman" w:hAnsi="Times New Roman"/>
                <w:b/>
                <w:sz w:val="20"/>
              </w:rPr>
              <w:t>Deliverable</w:t>
            </w:r>
          </w:p>
        </w:tc>
        <w:tc>
          <w:tcPr>
            <w:tcW w:type="dxa" w:w="2340"/>
          </w:tcPr>
          <w:p>
            <w:r/>
            <w:r>
              <w:rPr>
                <w:rFonts w:ascii="Times New Roman" w:hAnsi="Times New Roman"/>
                <w:b/>
                <w:sz w:val="20"/>
              </w:rPr>
              <w:t>Due</w:t>
            </w:r>
          </w:p>
        </w:tc>
        <w:tc>
          <w:tcPr>
            <w:tcW w:type="dxa" w:w="2340"/>
          </w:tcPr>
          <w:p>
            <w:r/>
            <w:r>
              <w:rPr>
                <w:rFonts w:ascii="Times New Roman" w:hAnsi="Times New Roman"/>
                <w:b/>
                <w:sz w:val="20"/>
              </w:rPr>
              <w:t>Status</w:t>
            </w:r>
          </w:p>
        </w:tc>
      </w:tr>
      <w:tr>
        <w:tc>
          <w:tcPr>
            <w:tcW w:type="dxa" w:w="2340"/>
          </w:tcPr>
          <w:p>
            <w:r/>
            <w:r>
              <w:rPr>
                <w:rFonts w:ascii="Times New Roman" w:hAnsi="Times New Roman"/>
                <w:sz w:val="20"/>
              </w:rPr>
              <w:t>D2.3</w:t>
            </w:r>
          </w:p>
        </w:tc>
        <w:tc>
          <w:tcPr>
            <w:tcW w:type="dxa" w:w="2340"/>
          </w:tcPr>
          <w:p>
            <w:r/>
            <w:r>
              <w:rPr>
                <w:rFonts w:ascii="Times New Roman" w:hAnsi="Times New Roman"/>
                <w:sz w:val="20"/>
              </w:rPr>
              <w:t>Platform routine operation</w:t>
            </w:r>
          </w:p>
        </w:tc>
        <w:tc>
          <w:tcPr>
            <w:tcW w:type="dxa" w:w="2340"/>
          </w:tcPr>
          <w:p>
            <w:r/>
            <w:r>
              <w:rPr>
                <w:rFonts w:ascii="Times New Roman" w:hAnsi="Times New Roman"/>
                <w:sz w:val="20"/>
              </w:rPr>
              <w:t>2025 Q4</w:t>
            </w:r>
          </w:p>
        </w:tc>
        <w:tc>
          <w:tcPr>
            <w:tcW w:type="dxa" w:w="2340"/>
          </w:tcPr>
          <w:p>
            <w:r/>
            <w:r>
              <w:rPr>
                <w:rFonts w:ascii="Times New Roman" w:hAnsi="Times New Roman"/>
                <w:sz w:val="20"/>
              </w:rPr>
              <w:t>Delivered</w:t>
            </w:r>
          </w:p>
        </w:tc>
      </w:tr>
      <w:tr>
        <w:tc>
          <w:tcPr>
            <w:tcW w:type="dxa" w:w="2340"/>
          </w:tcPr>
          <w:p>
            <w:r/>
            <w:r>
              <w:rPr>
                <w:rFonts w:ascii="Times New Roman" w:hAnsi="Times New Roman"/>
                <w:sz w:val="20"/>
              </w:rPr>
              <w:t>D1.4</w:t>
            </w:r>
          </w:p>
        </w:tc>
        <w:tc>
          <w:tcPr>
            <w:tcW w:type="dxa" w:w="2340"/>
          </w:tcPr>
          <w:p>
            <w:r/>
            <w:r>
              <w:rPr>
                <w:rFonts w:ascii="Times New Roman" w:hAnsi="Times New Roman"/>
                <w:sz w:val="20"/>
              </w:rPr>
              <w:t>Protocol version 2</w:t>
            </w:r>
          </w:p>
        </w:tc>
        <w:tc>
          <w:tcPr>
            <w:tcW w:type="dxa" w:w="2340"/>
          </w:tcPr>
          <w:p>
            <w:r/>
            <w:r>
              <w:rPr>
                <w:rFonts w:ascii="Times New Roman" w:hAnsi="Times New Roman"/>
                <w:sz w:val="20"/>
              </w:rPr>
              <w:t>2025 Q3</w:t>
            </w:r>
          </w:p>
        </w:tc>
        <w:tc>
          <w:tcPr>
            <w:tcW w:type="dxa" w:w="2340"/>
          </w:tcPr>
          <w:p>
            <w:r/>
            <w:r>
              <w:rPr>
                <w:rFonts w:ascii="Times New Roman" w:hAnsi="Times New Roman"/>
                <w:sz w:val="20"/>
              </w:rPr>
              <w:t>Delivered</w:t>
            </w:r>
          </w:p>
        </w:tc>
      </w:tr>
      <w:tr>
        <w:tc>
          <w:tcPr>
            <w:tcW w:type="dxa" w:w="2340"/>
          </w:tcPr>
          <w:p>
            <w:r/>
            <w:r>
              <w:rPr>
                <w:rFonts w:ascii="Times New Roman" w:hAnsi="Times New Roman"/>
                <w:sz w:val="20"/>
              </w:rPr>
              <w:t>D3.2</w:t>
            </w:r>
          </w:p>
        </w:tc>
        <w:tc>
          <w:tcPr>
            <w:tcW w:type="dxa" w:w="2340"/>
          </w:tcPr>
          <w:p>
            <w:r/>
            <w:r>
              <w:rPr>
                <w:rFonts w:ascii="Times New Roman" w:hAnsi="Times New Roman"/>
                <w:sz w:val="20"/>
              </w:rPr>
              <w:t>Cross calibration report</w:t>
            </w:r>
          </w:p>
        </w:tc>
        <w:tc>
          <w:tcPr>
            <w:tcW w:type="dxa" w:w="2340"/>
          </w:tcPr>
          <w:p>
            <w:r/>
            <w:r>
              <w:rPr>
                <w:rFonts w:ascii="Times New Roman" w:hAnsi="Times New Roman"/>
                <w:sz w:val="20"/>
              </w:rPr>
              <w:t>2025 Q4</w:t>
            </w:r>
          </w:p>
        </w:tc>
        <w:tc>
          <w:tcPr>
            <w:tcW w:type="dxa" w:w="2340"/>
          </w:tcPr>
          <w:p>
            <w:r/>
            <w:r>
              <w:rPr>
                <w:rFonts w:ascii="Times New Roman" w:hAnsi="Times New Roman"/>
                <w:sz w:val="20"/>
              </w:rPr>
              <w:t>Delivered</w:t>
            </w:r>
          </w:p>
        </w:tc>
      </w:tr>
      <w:tr>
        <w:tc>
          <w:tcPr>
            <w:tcW w:type="dxa" w:w="2340"/>
          </w:tcPr>
          <w:p>
            <w:r/>
            <w:r>
              <w:rPr>
                <w:rFonts w:ascii="Times New Roman" w:hAnsi="Times New Roman"/>
                <w:sz w:val="20"/>
              </w:rPr>
              <w:t>D4.5</w:t>
            </w:r>
          </w:p>
        </w:tc>
        <w:tc>
          <w:tcPr>
            <w:tcW w:type="dxa" w:w="2340"/>
          </w:tcPr>
          <w:p>
            <w:r/>
            <w:r>
              <w:rPr>
                <w:rFonts w:ascii="Times New Roman" w:hAnsi="Times New Roman"/>
                <w:sz w:val="20"/>
              </w:rPr>
              <w:t>Annual outreach summary</w:t>
            </w:r>
          </w:p>
        </w:tc>
        <w:tc>
          <w:tcPr>
            <w:tcW w:type="dxa" w:w="2340"/>
          </w:tcPr>
          <w:p>
            <w:r/>
            <w:r>
              <w:rPr>
                <w:rFonts w:ascii="Times New Roman" w:hAnsi="Times New Roman"/>
                <w:sz w:val="20"/>
              </w:rPr>
              <w:t>2025 Q4</w:t>
            </w:r>
          </w:p>
        </w:tc>
        <w:tc>
          <w:tcPr>
            <w:tcW w:type="dxa" w:w="2340"/>
          </w:tcPr>
          <w:p>
            <w:r/>
            <w:r>
              <w:rPr>
                <w:rFonts w:ascii="Times New Roman" w:hAnsi="Times New Roman"/>
                <w:sz w:val="20"/>
              </w:rPr>
              <w:t>Delivered</w:t>
            </w:r>
          </w:p>
        </w:tc>
      </w:tr>
    </w:tbl>
    <w:p/>
    <w:p>
      <w:r>
        <w:rPr>
          <w:rFonts w:ascii="Times New Roman" w:hAnsi="Times New Roman"/>
          <w:b/>
          <w:sz w:val="26"/>
        </w:rPr>
        <w:t>4  Iceland contribution</w:t>
      </w:r>
    </w:p>
    <w:p>
      <w:r>
        <w:rPr>
          <w:rFonts w:ascii="Times New Roman" w:hAnsi="Times New Roman"/>
          <w:b w:val="0"/>
          <w:i w:val="0"/>
          <w:sz w:val="22"/>
        </w:rPr>
        <w:t>The Iceland team led platform operation and outreach. Reykjanes gas monitoring results were contributed to the shared platform throughout the year, within the limits of what has been officially released, and formed the basis of the presentation prepared for the consortium annual meeting. Platform analytics, researcher retention figures, and portal traffic during unrest are reported in the annex and cited in the EU summary.</w:t>
      </w:r>
    </w:p>
    <w:p>
      <w:r>
        <w:rPr>
          <w:rFonts w:ascii="Times New Roman" w:hAnsi="Times New Roman"/>
          <w:b/>
          <w:sz w:val="26"/>
        </w:rPr>
        <w:t>5  Next steps for year 3</w:t>
      </w:r>
    </w:p>
    <w:p>
      <w:r>
        <w:rPr>
          <w:rFonts w:ascii="Times New Roman" w:hAnsi="Times New Roman"/>
          <w:b w:val="0"/>
          <w:i w:val="0"/>
          <w:sz w:val="22"/>
        </w:rPr>
        <w:t>Complete protocol adoption at the final two sites, run the next annual intercomparison, harden the platform against ingestion failures, and expand the outreach portal ahead of the field season. The consortium annual meeting and the San Francisco assembly are the two fixed reporting points in the year ahead.</w:t>
      </w:r>
    </w:p>
    <w:p>
      <w:r>
        <w:rPr>
          <w:rFonts w:ascii="Times New Roman" w:hAnsi="Times New Roman"/>
          <w:i/>
          <w:sz w:val="18"/>
        </w:rPr>
        <w:t>Prepared for internal consortium review. Public figures only. Unreleased national monitoring data is not included.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