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0"/>
        </w:rPr>
        <w:t>Highland Gas Survey, July 2025</w:t>
      </w:r>
    </w:p>
    <w:p>
      <w:r>
        <w:rPr>
          <w:rFonts w:ascii="Times New Roman" w:hAnsi="Times New Roman"/>
          <w:b/>
          <w:sz w:val="26"/>
        </w:rPr>
        <w:t>Field Safety and Logistics Plan</w:t>
      </w:r>
    </w:p>
    <w:p>
      <w:r>
        <w:rPr>
          <w:rFonts w:ascii="Times New Roman" w:hAnsi="Times New Roman"/>
          <w:b/>
          <w:sz w:val="22"/>
        </w:rPr>
        <w:t xml:space="preserve">Campaign lead:  </w:t>
      </w:r>
      <w:r>
        <w:rPr>
          <w:rFonts w:ascii="Times New Roman" w:hAnsi="Times New Roman"/>
          <w:sz w:val="22"/>
        </w:rPr>
        <w:t>Martha Glass, ÍJE</w:t>
      </w:r>
    </w:p>
    <w:p>
      <w:r>
        <w:rPr>
          <w:rFonts w:ascii="Times New Roman" w:hAnsi="Times New Roman"/>
          <w:b/>
          <w:sz w:val="22"/>
        </w:rPr>
        <w:t xml:space="preserve">Field team:  </w:t>
      </w:r>
      <w:r>
        <w:rPr>
          <w:rFonts w:ascii="Times New Roman" w:hAnsi="Times New Roman"/>
          <w:sz w:val="22"/>
        </w:rPr>
        <w:t>Lilja Einarsdóttir (PhD), two field assistants, Dr. Sarah Jennings (visiting, PNVO)</w:t>
      </w:r>
    </w:p>
    <w:p>
      <w:r>
        <w:rPr>
          <w:rFonts w:ascii="Times New Roman" w:hAnsi="Times New Roman"/>
          <w:b/>
          <w:sz w:val="22"/>
        </w:rPr>
        <w:t xml:space="preserve">Helicopter support:  </w:t>
      </w:r>
      <w:r>
        <w:rPr>
          <w:rFonts w:ascii="Times New Roman" w:hAnsi="Times New Roman"/>
          <w:sz w:val="22"/>
        </w:rPr>
        <w:t>Halldór Bjarnason, Hekla Air Services</w:t>
      </w:r>
    </w:p>
    <w:p>
      <w:r>
        <w:rPr>
          <w:rFonts w:ascii="Times New Roman" w:hAnsi="Times New Roman"/>
          <w:b/>
          <w:sz w:val="22"/>
        </w:rPr>
        <w:t xml:space="preserve">Dates:  </w:t>
      </w:r>
      <w:r>
        <w:rPr>
          <w:rFonts w:ascii="Times New Roman" w:hAnsi="Times New Roman"/>
          <w:sz w:val="22"/>
        </w:rPr>
        <w:t>14 to 28 July 2025</w:t>
      </w:r>
    </w:p>
    <w:p>
      <w:r>
        <w:rPr>
          <w:rFonts w:ascii="Times New Roman" w:hAnsi="Times New Roman"/>
          <w:b/>
          <w:sz w:val="22"/>
        </w:rPr>
        <w:t xml:space="preserve">Sites:  </w:t>
      </w:r>
      <w:r>
        <w:rPr>
          <w:rFonts w:ascii="Times New Roman" w:hAnsi="Times New Roman"/>
          <w:sz w:val="22"/>
        </w:rPr>
        <w:t>Katla caldera rim, Bárðarbunga, Askja</w:t>
      </w:r>
    </w:p>
    <w:p>
      <w:r>
        <w:rPr>
          <w:rFonts w:ascii="Times New Roman" w:hAnsi="Times New Roman"/>
          <w:b/>
          <w:sz w:val="22"/>
        </w:rPr>
        <w:t xml:space="preserve">Plan date:  </w:t>
      </w:r>
      <w:r>
        <w:rPr>
          <w:rFonts w:ascii="Times New Roman" w:hAnsi="Times New Roman"/>
          <w:sz w:val="22"/>
        </w:rPr>
        <w:t>2 June 2025</w:t>
      </w:r>
    </w:p>
    <w:p/>
    <w:p>
      <w:r>
        <w:rPr>
          <w:rFonts w:ascii="Times New Roman" w:hAnsi="Times New Roman"/>
          <w:b/>
          <w:sz w:val="26"/>
        </w:rPr>
        <w:t>1  Objectives</w:t>
      </w:r>
    </w:p>
    <w:p>
      <w:r>
        <w:rPr>
          <w:rFonts w:ascii="Times New Roman" w:hAnsi="Times New Roman"/>
          <w:b w:val="0"/>
          <w:i w:val="0"/>
          <w:sz w:val="22"/>
        </w:rPr>
        <w:t>Collect baseline gas measurements at the three target systems using DOAS, MultiGAS, and drone mounted sensors. Priority is the Katla caldera rim baseline, which feeds directly into the readiness assessment. Secondary objectives are repeat measurements at Bárðarbunga and a first survey at Askja for the season.</w:t>
      </w:r>
    </w:p>
    <w:p>
      <w:r>
        <w:rPr>
          <w:rFonts w:ascii="Times New Roman" w:hAnsi="Times New Roman"/>
          <w:b/>
          <w:sz w:val="26"/>
        </w:rPr>
        <w:t>2  Weather and helicopter windows</w:t>
      </w:r>
    </w:p>
    <w:p>
      <w:r>
        <w:rPr>
          <w:rFonts w:ascii="Times New Roman" w:hAnsi="Times New Roman"/>
          <w:b w:val="0"/>
          <w:i w:val="0"/>
          <w:sz w:val="22"/>
        </w:rPr>
        <w:t>All flying is at the discretion of the pilot. Halldór has final say on every lift, and a no from him is final and never questioned. Highland weather windows are short and shift fast, so the schedule below is a target, not a promise. We carry two spare field days for weather. Forecasts are checked the evening before and again at first light.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Day</w:t>
            </w:r>
          </w:p>
        </w:tc>
        <w:tc>
          <w:tcPr>
            <w:tcW w:type="dxa" w:w="2340"/>
          </w:tcPr>
          <w:p>
            <w:r/>
            <w:r>
              <w:rPr>
                <w:rFonts w:ascii="Times New Roman" w:hAnsi="Times New Roman"/>
                <w:b/>
                <w:sz w:val="20"/>
              </w:rPr>
              <w:t>Site</w:t>
            </w:r>
          </w:p>
        </w:tc>
        <w:tc>
          <w:tcPr>
            <w:tcW w:type="dxa" w:w="2340"/>
          </w:tcPr>
          <w:p>
            <w:r/>
            <w:r>
              <w:rPr>
                <w:rFonts w:ascii="Times New Roman" w:hAnsi="Times New Roman"/>
                <w:b/>
                <w:sz w:val="20"/>
              </w:rPr>
              <w:t>Primary task</w:t>
            </w:r>
          </w:p>
        </w:tc>
        <w:tc>
          <w:tcPr>
            <w:tcW w:type="dxa" w:w="2340"/>
          </w:tcPr>
          <w:p>
            <w:r/>
            <w:r>
              <w:rPr>
                <w:rFonts w:ascii="Times New Roman" w:hAnsi="Times New Roman"/>
                <w:b/>
                <w:sz w:val="20"/>
              </w:rPr>
              <w:t>Weather backup</w:t>
            </w:r>
          </w:p>
        </w:tc>
      </w:tr>
      <w:tr>
        <w:tc>
          <w:tcPr>
            <w:tcW w:type="dxa" w:w="2340"/>
          </w:tcPr>
          <w:p>
            <w:r/>
            <w:r>
              <w:rPr>
                <w:rFonts w:ascii="Times New Roman" w:hAnsi="Times New Roman"/>
                <w:sz w:val="20"/>
              </w:rPr>
              <w:t>1 to 4</w:t>
            </w:r>
          </w:p>
        </w:tc>
        <w:tc>
          <w:tcPr>
            <w:tcW w:type="dxa" w:w="2340"/>
          </w:tcPr>
          <w:p>
            <w:r/>
            <w:r>
              <w:rPr>
                <w:rFonts w:ascii="Times New Roman" w:hAnsi="Times New Roman"/>
                <w:sz w:val="20"/>
              </w:rPr>
              <w:t>Katla rim</w:t>
            </w:r>
          </w:p>
        </w:tc>
        <w:tc>
          <w:tcPr>
            <w:tcW w:type="dxa" w:w="2340"/>
          </w:tcPr>
          <w:p>
            <w:r/>
            <w:r>
              <w:rPr>
                <w:rFonts w:ascii="Times New Roman" w:hAnsi="Times New Roman"/>
                <w:sz w:val="20"/>
              </w:rPr>
              <w:t>Caldera rim baseline survey</w:t>
            </w:r>
          </w:p>
        </w:tc>
        <w:tc>
          <w:tcPr>
            <w:tcW w:type="dxa" w:w="2340"/>
          </w:tcPr>
          <w:p>
            <w:r/>
            <w:r>
              <w:rPr>
                <w:rFonts w:ascii="Times New Roman" w:hAnsi="Times New Roman"/>
                <w:sz w:val="20"/>
              </w:rPr>
              <w:t>Move to Day 5 slot</w:t>
            </w:r>
          </w:p>
        </w:tc>
      </w:tr>
      <w:tr>
        <w:tc>
          <w:tcPr>
            <w:tcW w:type="dxa" w:w="2340"/>
          </w:tcPr>
          <w:p>
            <w:r/>
            <w:r>
              <w:rPr>
                <w:rFonts w:ascii="Times New Roman" w:hAnsi="Times New Roman"/>
                <w:sz w:val="20"/>
              </w:rPr>
              <w:t>5 to 7</w:t>
            </w:r>
          </w:p>
        </w:tc>
        <w:tc>
          <w:tcPr>
            <w:tcW w:type="dxa" w:w="2340"/>
          </w:tcPr>
          <w:p>
            <w:r/>
            <w:r>
              <w:rPr>
                <w:rFonts w:ascii="Times New Roman" w:hAnsi="Times New Roman"/>
                <w:sz w:val="20"/>
              </w:rPr>
              <w:t>Bárðarbunga</w:t>
            </w:r>
          </w:p>
        </w:tc>
        <w:tc>
          <w:tcPr>
            <w:tcW w:type="dxa" w:w="2340"/>
          </w:tcPr>
          <w:p>
            <w:r/>
            <w:r>
              <w:rPr>
                <w:rFonts w:ascii="Times New Roman" w:hAnsi="Times New Roman"/>
                <w:sz w:val="20"/>
              </w:rPr>
              <w:t>Repeat MultiGAS and DOAS</w:t>
            </w:r>
          </w:p>
        </w:tc>
        <w:tc>
          <w:tcPr>
            <w:tcW w:type="dxa" w:w="2340"/>
          </w:tcPr>
          <w:p>
            <w:r/>
            <w:r>
              <w:rPr>
                <w:rFonts w:ascii="Times New Roman" w:hAnsi="Times New Roman"/>
                <w:sz w:val="20"/>
              </w:rPr>
              <w:t>Drone only if wind allows</w:t>
            </w:r>
          </w:p>
        </w:tc>
      </w:tr>
      <w:tr>
        <w:tc>
          <w:tcPr>
            <w:tcW w:type="dxa" w:w="2340"/>
          </w:tcPr>
          <w:p>
            <w:r/>
            <w:r>
              <w:rPr>
                <w:rFonts w:ascii="Times New Roman" w:hAnsi="Times New Roman"/>
                <w:sz w:val="20"/>
              </w:rPr>
              <w:t>8 to 11</w:t>
            </w:r>
          </w:p>
        </w:tc>
        <w:tc>
          <w:tcPr>
            <w:tcW w:type="dxa" w:w="2340"/>
          </w:tcPr>
          <w:p>
            <w:r/>
            <w:r>
              <w:rPr>
                <w:rFonts w:ascii="Times New Roman" w:hAnsi="Times New Roman"/>
                <w:sz w:val="20"/>
              </w:rPr>
              <w:t>Askja</w:t>
            </w:r>
          </w:p>
        </w:tc>
        <w:tc>
          <w:tcPr>
            <w:tcW w:type="dxa" w:w="2340"/>
          </w:tcPr>
          <w:p>
            <w:r/>
            <w:r>
              <w:rPr>
                <w:rFonts w:ascii="Times New Roman" w:hAnsi="Times New Roman"/>
                <w:sz w:val="20"/>
              </w:rPr>
              <w:t>First season survey</w:t>
            </w:r>
          </w:p>
        </w:tc>
        <w:tc>
          <w:tcPr>
            <w:tcW w:type="dxa" w:w="2340"/>
          </w:tcPr>
          <w:p>
            <w:r/>
            <w:r>
              <w:rPr>
                <w:rFonts w:ascii="Times New Roman" w:hAnsi="Times New Roman"/>
                <w:sz w:val="20"/>
              </w:rPr>
              <w:t>Ground sampling fallback</w:t>
            </w:r>
          </w:p>
        </w:tc>
      </w:tr>
      <w:tr>
        <w:tc>
          <w:tcPr>
            <w:tcW w:type="dxa" w:w="2340"/>
          </w:tcPr>
          <w:p>
            <w:r/>
            <w:r>
              <w:rPr>
                <w:rFonts w:ascii="Times New Roman" w:hAnsi="Times New Roman"/>
                <w:sz w:val="20"/>
              </w:rPr>
              <w:t>12 to 14</w:t>
            </w:r>
          </w:p>
        </w:tc>
        <w:tc>
          <w:tcPr>
            <w:tcW w:type="dxa" w:w="2340"/>
          </w:tcPr>
          <w:p>
            <w:r/>
            <w:r>
              <w:rPr>
                <w:rFonts w:ascii="Times New Roman" w:hAnsi="Times New Roman"/>
                <w:sz w:val="20"/>
              </w:rPr>
              <w:t>Reserve</w:t>
            </w:r>
          </w:p>
        </w:tc>
        <w:tc>
          <w:tcPr>
            <w:tcW w:type="dxa" w:w="2340"/>
          </w:tcPr>
          <w:p>
            <w:r/>
            <w:r>
              <w:rPr>
                <w:rFonts w:ascii="Times New Roman" w:hAnsi="Times New Roman"/>
                <w:sz w:val="20"/>
              </w:rPr>
              <w:t>Weather and instrument catch up</w:t>
            </w:r>
          </w:p>
        </w:tc>
        <w:tc>
          <w:tcPr>
            <w:tcW w:type="dxa" w:w="2340"/>
          </w:tcPr>
          <w:p>
            <w:r/>
            <w:r>
              <w:rPr>
                <w:rFonts w:ascii="Times New Roman" w:hAnsi="Times New Roman"/>
                <w:sz w:val="20"/>
              </w:rPr>
              <w:t>Demob</w:t>
            </w:r>
          </w:p>
        </w:tc>
      </w:tr>
    </w:tbl>
    <w:p/>
    <w:p>
      <w:r>
        <w:rPr>
          <w:rFonts w:ascii="Times New Roman" w:hAnsi="Times New Roman"/>
          <w:b/>
          <w:sz w:val="26"/>
        </w:rPr>
        <w:t>3  Communications</w:t>
      </w:r>
    </w:p>
    <w:p>
      <w:r>
        <w:rPr>
          <w:rFonts w:ascii="Times New Roman" w:hAnsi="Times New Roman"/>
          <w:b w:val="0"/>
          <w:i w:val="0"/>
          <w:sz w:val="22"/>
        </w:rPr>
        <w:t>Primary field communication is the Garmin inReach satellite link for position and check in, with a fixed morning and evening schedule. Telegram is used for team coordination when within coverage. A missed evening check in triggers the escalation procedure after a two hour grace period. Base contact holds the full passenger and payload manifest for every lift.</w:t>
      </w:r>
    </w:p>
    <w:p>
      <w:r>
        <w:rPr>
          <w:rFonts w:ascii="Times New Roman" w:hAnsi="Times New Roman"/>
          <w:b/>
          <w:sz w:val="26"/>
        </w:rPr>
        <w:t>4  Safety and emergency procedure</w:t>
      </w:r>
    </w:p>
    <w:p>
      <w:r>
        <w:rPr>
          <w:rFonts w:ascii="Times New Roman" w:hAnsi="Times New Roman"/>
          <w:b w:val="0"/>
          <w:i w:val="0"/>
          <w:sz w:val="22"/>
        </w:rPr>
        <w:t>Every team member carries personal protective equipment for gas exposure, including a gas mask rated for sulphur species and a personal H2S alarm. No one approaches a fumarole alone. Crevasse protocol applies on all glaciated ground. In an emergency, contact base by inReach, then Hekla Air Services, then ICE-SAR through the 112 system. Medical kit and evacuation roles are assigned at the daily briefing.</w:t>
      </w:r>
    </w:p>
    <w:p>
      <w:r>
        <w:rPr>
          <w:rFonts w:ascii="Times New Roman" w:hAnsi="Times New Roman"/>
          <w:b/>
          <w:sz w:val="26"/>
        </w:rPr>
        <w:t>5  Provisioning and gear</w:t>
      </w:r>
    </w:p>
    <w:p>
      <w:r>
        <w:rPr>
          <w:rFonts w:ascii="Times New Roman" w:hAnsi="Times New Roman"/>
          <w:b w:val="0"/>
          <w:i w:val="0"/>
          <w:sz w:val="22"/>
        </w:rPr>
        <w:t>Food and fuel for sixteen days, two days beyond plan. Instrument spares for the DOAS and MultiGAS units, spare drone batteries, and a portable weather station. Dietary requirements from the pre campaign forms are accommodated. Gear list and load plan are tracked separately for each helicopter lift.</w:t>
      </w:r>
    </w:p>
    <w:p>
      <w:r>
        <w:rPr>
          <w:rFonts w:ascii="Times New Roman" w:hAnsi="Times New Roman"/>
          <w:i/>
          <w:sz w:val="18"/>
        </w:rPr>
        <w:t>Field plan only. Subject to change with weather and ground conditions. Pilot judgement overrides the schedule at all times.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