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0"/>
        </w:rPr>
        <w:t>Katla Readiness Assessment</w:t>
      </w:r>
    </w:p>
    <w:p>
      <w:r>
        <w:rPr>
          <w:rFonts w:ascii="Times New Roman" w:hAnsi="Times New Roman"/>
          <w:b/>
          <w:sz w:val="26"/>
        </w:rPr>
        <w:t>Chapter 4: Volcanic Gas Geochemistry and Monitoring Capability</w:t>
      </w:r>
    </w:p>
    <w:p>
      <w:r>
        <w:rPr>
          <w:rFonts w:ascii="Times New Roman" w:hAnsi="Times New Roman"/>
          <w:i/>
          <w:sz w:val="18"/>
        </w:rPr>
        <w:t>Confidential working draft, v0.7. Prepared for ÍJE management. Not for distribution.</w:t>
      </w:r>
    </w:p>
    <w:p>
      <w:r>
        <w:rPr>
          <w:rFonts w:ascii="Times New Roman" w:hAnsi="Times New Roman"/>
          <w:b/>
          <w:sz w:val="22"/>
        </w:rPr>
        <w:t xml:space="preserve">Author:  </w:t>
      </w:r>
      <w:r>
        <w:rPr>
          <w:rFonts w:ascii="Times New Roman" w:hAnsi="Times New Roman"/>
          <w:sz w:val="22"/>
        </w:rPr>
        <w:t>Martha Glass, Natural Hazards Division, ÍJE</w:t>
      </w:r>
    </w:p>
    <w:p>
      <w:r>
        <w:rPr>
          <w:rFonts w:ascii="Times New Roman" w:hAnsi="Times New Roman"/>
          <w:b/>
          <w:sz w:val="22"/>
        </w:rPr>
        <w:t xml:space="preserve">Contributing:  </w:t>
      </w:r>
      <w:r>
        <w:rPr>
          <w:rFonts w:ascii="Times New Roman" w:hAnsi="Times New Roman"/>
          <w:sz w:val="22"/>
        </w:rPr>
        <w:t>Dr. Helgi Björnsson (glaciology, jökulhlaup scenarios)</w:t>
      </w:r>
    </w:p>
    <w:p>
      <w:r>
        <w:rPr>
          <w:rFonts w:ascii="Times New Roman" w:hAnsi="Times New Roman"/>
          <w:b/>
          <w:sz w:val="22"/>
        </w:rPr>
        <w:t xml:space="preserve">Draft date:  </w:t>
      </w:r>
      <w:r>
        <w:rPr>
          <w:rFonts w:ascii="Times New Roman" w:hAnsi="Times New Roman"/>
          <w:sz w:val="22"/>
        </w:rPr>
        <w:t>18 February 2026</w:t>
      </w:r>
    </w:p>
    <w:p>
      <w:r>
        <w:rPr>
          <w:rFonts w:ascii="Times New Roman" w:hAnsi="Times New Roman"/>
          <w:b/>
          <w:sz w:val="22"/>
        </w:rPr>
        <w:t xml:space="preserve">Submission target:  </w:t>
      </w:r>
      <w:r>
        <w:rPr>
          <w:rFonts w:ascii="Times New Roman" w:hAnsi="Times New Roman"/>
          <w:sz w:val="22"/>
        </w:rPr>
        <w:t>2 October 2026 (to ÍJE management)</w:t>
      </w:r>
    </w:p>
    <w:p/>
    <w:p>
      <w:r>
        <w:rPr>
          <w:rFonts w:ascii="Times New Roman" w:hAnsi="Times New Roman"/>
          <w:b/>
          <w:sz w:val="26"/>
        </w:rPr>
        <w:t>4.1  Introduction</w:t>
      </w:r>
    </w:p>
    <w:p>
      <w:r>
        <w:rPr>
          <w:rFonts w:ascii="Times New Roman" w:hAnsi="Times New Roman"/>
          <w:b w:val="0"/>
          <w:i w:val="0"/>
          <w:sz w:val="22"/>
        </w:rPr>
        <w:t>This chapter assesses the readiness of gas geochemical monitoring to detect and track unrest at the Katla volcanic system. Katla sits beneath the Mýrdalsjökull ice cap, which complicates direct gas sensing and means that any escalation toward eruption may be accompanied by rapid melting and jökulhlaup. The objective here is narrow and practical: to state what we can currently measure, where the gaps are, and what must be in place so that a change in degassing is recognised early and communicated cleanly to civil protection.</w:t>
      </w:r>
    </w:p>
    <w:p>
      <w:r>
        <w:rPr>
          <w:rFonts w:ascii="Times New Roman" w:hAnsi="Times New Roman"/>
          <w:b/>
          <w:sz w:val="26"/>
        </w:rPr>
        <w:t>4.2  Current monitoring capability</w:t>
      </w:r>
    </w:p>
    <w:p>
      <w:r>
        <w:rPr>
          <w:rFonts w:ascii="Times New Roman" w:hAnsi="Times New Roman"/>
          <w:b w:val="0"/>
          <w:i w:val="0"/>
          <w:sz w:val="22"/>
        </w:rPr>
        <w:t>Gas monitoring of Katla relies on three complementary methods. Ground based DOAS scanning measures sulphur dioxide flux in any plume that clears the ice. Direct sampling with the MultiGAS instrument provides species ratios, principally CO2 over SO2 and H2S over SO2, when fumarolic sites on the caldera rim are accessible. Drone mounted sensors extend reach over crevassed terrain that is unsafe on foot. The instrument fleet is shared with the Reykjanes campaign and the European gas network, so availability during a parallel crisis is a real constraint and is addressed in the recommendations.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Method</w:t>
            </w:r>
          </w:p>
        </w:tc>
        <w:tc>
          <w:tcPr>
            <w:tcW w:type="dxa" w:w="2340"/>
          </w:tcPr>
          <w:p>
            <w:r/>
            <w:r>
              <w:rPr>
                <w:rFonts w:ascii="Times New Roman" w:hAnsi="Times New Roman"/>
                <w:b/>
                <w:sz w:val="20"/>
              </w:rPr>
              <w:t>Target species</w:t>
            </w:r>
          </w:p>
        </w:tc>
        <w:tc>
          <w:tcPr>
            <w:tcW w:type="dxa" w:w="2340"/>
          </w:tcPr>
          <w:p>
            <w:r/>
            <w:r>
              <w:rPr>
                <w:rFonts w:ascii="Times New Roman" w:hAnsi="Times New Roman"/>
                <w:b/>
                <w:sz w:val="20"/>
              </w:rPr>
              <w:t>Strength</w:t>
            </w:r>
          </w:p>
        </w:tc>
        <w:tc>
          <w:tcPr>
            <w:tcW w:type="dxa" w:w="2340"/>
          </w:tcPr>
          <w:p>
            <w:r/>
            <w:r>
              <w:rPr>
                <w:rFonts w:ascii="Times New Roman" w:hAnsi="Times New Roman"/>
                <w:b/>
                <w:sz w:val="20"/>
              </w:rPr>
              <w:t>Limitation at Katla</w:t>
            </w:r>
          </w:p>
        </w:tc>
      </w:tr>
      <w:tr>
        <w:tc>
          <w:tcPr>
            <w:tcW w:type="dxa" w:w="2340"/>
          </w:tcPr>
          <w:p>
            <w:r/>
            <w:r>
              <w:rPr>
                <w:rFonts w:ascii="Times New Roman" w:hAnsi="Times New Roman"/>
                <w:sz w:val="20"/>
              </w:rPr>
              <w:t>DOAS scanning</w:t>
            </w:r>
          </w:p>
        </w:tc>
        <w:tc>
          <w:tcPr>
            <w:tcW w:type="dxa" w:w="2340"/>
          </w:tcPr>
          <w:p>
            <w:r/>
            <w:r>
              <w:rPr>
                <w:rFonts w:ascii="Times New Roman" w:hAnsi="Times New Roman"/>
                <w:sz w:val="20"/>
              </w:rPr>
              <w:t>SO2 flux</w:t>
            </w:r>
          </w:p>
        </w:tc>
        <w:tc>
          <w:tcPr>
            <w:tcW w:type="dxa" w:w="2340"/>
          </w:tcPr>
          <w:p>
            <w:r/>
            <w:r>
              <w:rPr>
                <w:rFonts w:ascii="Times New Roman" w:hAnsi="Times New Roman"/>
                <w:sz w:val="20"/>
              </w:rPr>
              <w:t>Continuous when plume visible</w:t>
            </w:r>
          </w:p>
        </w:tc>
        <w:tc>
          <w:tcPr>
            <w:tcW w:type="dxa" w:w="2340"/>
          </w:tcPr>
          <w:p>
            <w:r/>
            <w:r>
              <w:rPr>
                <w:rFonts w:ascii="Times New Roman" w:hAnsi="Times New Roman"/>
                <w:sz w:val="20"/>
              </w:rPr>
              <w:t>Ice cap suppresses surface emission</w:t>
            </w:r>
          </w:p>
        </w:tc>
      </w:tr>
      <w:tr>
        <w:tc>
          <w:tcPr>
            <w:tcW w:type="dxa" w:w="2340"/>
          </w:tcPr>
          <w:p>
            <w:r/>
            <w:r>
              <w:rPr>
                <w:rFonts w:ascii="Times New Roman" w:hAnsi="Times New Roman"/>
                <w:sz w:val="20"/>
              </w:rPr>
              <w:t>MultiGAS</w:t>
            </w:r>
          </w:p>
        </w:tc>
        <w:tc>
          <w:tcPr>
            <w:tcW w:type="dxa" w:w="2340"/>
          </w:tcPr>
          <w:p>
            <w:r/>
            <w:r>
              <w:rPr>
                <w:rFonts w:ascii="Times New Roman" w:hAnsi="Times New Roman"/>
                <w:sz w:val="20"/>
              </w:rPr>
              <w:t>CO2/SO2, H2S/SO2</w:t>
            </w:r>
          </w:p>
        </w:tc>
        <w:tc>
          <w:tcPr>
            <w:tcW w:type="dxa" w:w="2340"/>
          </w:tcPr>
          <w:p>
            <w:r/>
            <w:r>
              <w:rPr>
                <w:rFonts w:ascii="Times New Roman" w:hAnsi="Times New Roman"/>
                <w:sz w:val="20"/>
              </w:rPr>
              <w:t>Diagnostic of magma input</w:t>
            </w:r>
          </w:p>
        </w:tc>
        <w:tc>
          <w:tcPr>
            <w:tcW w:type="dxa" w:w="2340"/>
          </w:tcPr>
          <w:p>
            <w:r/>
            <w:r>
              <w:rPr>
                <w:rFonts w:ascii="Times New Roman" w:hAnsi="Times New Roman"/>
                <w:sz w:val="20"/>
              </w:rPr>
              <w:t>Needs accessible fumaroles</w:t>
            </w:r>
          </w:p>
        </w:tc>
      </w:tr>
      <w:tr>
        <w:tc>
          <w:tcPr>
            <w:tcW w:type="dxa" w:w="2340"/>
          </w:tcPr>
          <w:p>
            <w:r/>
            <w:r>
              <w:rPr>
                <w:rFonts w:ascii="Times New Roman" w:hAnsi="Times New Roman"/>
                <w:sz w:val="20"/>
              </w:rPr>
              <w:t>Drone sensors</w:t>
            </w:r>
          </w:p>
        </w:tc>
        <w:tc>
          <w:tcPr>
            <w:tcW w:type="dxa" w:w="2340"/>
          </w:tcPr>
          <w:p>
            <w:r/>
            <w:r>
              <w:rPr>
                <w:rFonts w:ascii="Times New Roman" w:hAnsi="Times New Roman"/>
                <w:sz w:val="20"/>
              </w:rPr>
              <w:t>CO2, SO2</w:t>
            </w:r>
          </w:p>
        </w:tc>
        <w:tc>
          <w:tcPr>
            <w:tcW w:type="dxa" w:w="2340"/>
          </w:tcPr>
          <w:p>
            <w:r/>
            <w:r>
              <w:rPr>
                <w:rFonts w:ascii="Times New Roman" w:hAnsi="Times New Roman"/>
                <w:sz w:val="20"/>
              </w:rPr>
              <w:t>Reaches unsafe ground</w:t>
            </w:r>
          </w:p>
        </w:tc>
        <w:tc>
          <w:tcPr>
            <w:tcW w:type="dxa" w:w="2340"/>
          </w:tcPr>
          <w:p>
            <w:r/>
            <w:r>
              <w:rPr>
                <w:rFonts w:ascii="Times New Roman" w:hAnsi="Times New Roman"/>
                <w:sz w:val="20"/>
              </w:rPr>
              <w:t>Weather and battery limited</w:t>
            </w:r>
          </w:p>
        </w:tc>
      </w:tr>
    </w:tbl>
    <w:p/>
    <w:p>
      <w:r>
        <w:rPr>
          <w:rFonts w:ascii="Times New Roman" w:hAnsi="Times New Roman"/>
          <w:b/>
          <w:sz w:val="26"/>
        </w:rPr>
        <w:t>4.3  Baseline gas measurements and the known gap</w:t>
      </w:r>
    </w:p>
    <w:p>
      <w:r>
        <w:rPr>
          <w:rFonts w:ascii="Times New Roman" w:hAnsi="Times New Roman"/>
          <w:b w:val="0"/>
          <w:i w:val="0"/>
          <w:sz w:val="22"/>
        </w:rPr>
        <w:t>Reliable interpretation of any future signal depends on a current baseline. The most complete caldera rim gas survey on file predates the recent acceleration of regional activity, and conditions at the accessible fumarole fields have changed since. This is the single largest gap in our readiness. Without a fresh baseline we risk reading a normal seasonal fluctuation as an anomaly, or worse, dismissing a real change because the reference is stale. A dedicated baseline survey of the caldera rim is the first priority and is scheduled into the summer highland campaign.</w:t>
      </w:r>
    </w:p>
    <w:p>
      <w:r>
        <w:rPr>
          <w:rFonts w:ascii="Times New Roman" w:hAnsi="Times New Roman"/>
          <w:b/>
          <w:sz w:val="26"/>
        </w:rPr>
        <w:t>4.4  Coupling with jökulhlaup scenarios</w:t>
      </w:r>
    </w:p>
    <w:p>
      <w:r>
        <w:rPr>
          <w:rFonts w:ascii="Times New Roman" w:hAnsi="Times New Roman"/>
          <w:b w:val="0"/>
          <w:i w:val="0"/>
          <w:sz w:val="22"/>
        </w:rPr>
        <w:t>Gas escalation and meltwater release are not independent. In coordination with Dr. Helgi Björnsson, this chapter aligns three gas escalation tiers with the corresponding meltwater and jökulhlaup scenarios, so that a single integrated picture reaches decision makers rather than two separate technical notes. The intent is that a measured rise in CO2 over SO2 ratio, paired with subglacial signals, maps to a defined readiness posture.</w:t>
      </w:r>
    </w:p>
    <w:p>
      <w:r>
        <w:rPr>
          <w:rFonts w:ascii="Times New Roman" w:hAnsi="Times New Roman"/>
          <w:b/>
          <w:sz w:val="26"/>
        </w:rPr>
        <w:t>4.5  Recommendations</w:t>
      </w:r>
    </w:p>
    <w:p>
      <w:r>
        <w:rPr>
          <w:rFonts w:ascii="Times New Roman" w:hAnsi="Times New Roman"/>
          <w:b w:val="0"/>
          <w:i w:val="0"/>
          <w:sz w:val="22"/>
        </w:rPr>
        <w:t>First, complete a caldera rim baseline gas survey in the coming field season. Second, secure dedicated instrument capacity so that a Katla response does not compete with Reykjanes for the same units. Third, establish a drone sampling protocol for the ice covered sectors. Fourth, agree the gas to readiness mapping with civil protection in advance, while there is time to discuss it calmly rather than during an event.</w:t>
      </w:r>
    </w:p>
    <w:p>
      <w:r>
        <w:rPr>
          <w:rFonts w:ascii="Times New Roman" w:hAnsi="Times New Roman"/>
          <w:i/>
          <w:sz w:val="18"/>
        </w:rPr>
        <w:t>This is a scientific working draft. Findings are provisional and are not a hazard forecast. Final assessment and any public guidance rest with ÍJE and the relevant authorities.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