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PhD Supervision Meeting Notes</w:t>
      </w:r>
    </w:p>
    <w:p>
      <w:r>
        <w:rPr>
          <w:rFonts w:ascii="Times New Roman" w:hAnsi="Times New Roman"/>
          <w:b/>
          <w:sz w:val="22"/>
        </w:rPr>
        <w:t xml:space="preserve">Student:  </w:t>
      </w:r>
      <w:r>
        <w:rPr>
          <w:rFonts w:ascii="Times New Roman" w:hAnsi="Times New Roman"/>
          <w:sz w:val="22"/>
        </w:rPr>
        <w:t>Lilja Einarsdóttir</w:t>
      </w:r>
    </w:p>
    <w:p>
      <w:r>
        <w:rPr>
          <w:rFonts w:ascii="Times New Roman" w:hAnsi="Times New Roman"/>
          <w:b/>
          <w:sz w:val="22"/>
        </w:rPr>
        <w:t xml:space="preserve">Supervisor:  </w:t>
      </w:r>
      <w:r>
        <w:rPr>
          <w:rFonts w:ascii="Times New Roman" w:hAnsi="Times New Roman"/>
          <w:sz w:val="22"/>
        </w:rPr>
        <w:t>Martha Glass</w:t>
      </w:r>
    </w:p>
    <w:p>
      <w:r>
        <w:rPr>
          <w:rFonts w:ascii="Times New Roman" w:hAnsi="Times New Roman"/>
          <w:b/>
          <w:sz w:val="22"/>
        </w:rPr>
        <w:t xml:space="preserve">Project:  </w:t>
      </w:r>
      <w:r>
        <w:rPr>
          <w:rFonts w:ascii="Times New Roman" w:hAnsi="Times New Roman"/>
          <w:sz w:val="22"/>
        </w:rPr>
        <w:t>Volcanic tremor signals as eruption precursors</w:t>
      </w:r>
    </w:p>
    <w:p>
      <w:r>
        <w:rPr>
          <w:rFonts w:ascii="Times New Roman" w:hAnsi="Times New Roman"/>
          <w:b/>
          <w:sz w:val="22"/>
        </w:rPr>
        <w:t xml:space="preserve">Meeting date:  </w:t>
      </w:r>
      <w:r>
        <w:rPr>
          <w:rFonts w:ascii="Times New Roman" w:hAnsi="Times New Roman"/>
          <w:sz w:val="22"/>
        </w:rPr>
        <w:t>12 February 2026</w:t>
      </w:r>
    </w:p>
    <w:p>
      <w:r>
        <w:rPr>
          <w:rFonts w:ascii="Times New Roman" w:hAnsi="Times New Roman"/>
          <w:b/>
          <w:sz w:val="22"/>
        </w:rPr>
        <w:t xml:space="preserve">Next meeting:  </w:t>
      </w:r>
      <w:r>
        <w:rPr>
          <w:rFonts w:ascii="Times New Roman" w:hAnsi="Times New Roman"/>
          <w:sz w:val="22"/>
        </w:rPr>
        <w:t>15 October 2026</w:t>
      </w:r>
    </w:p>
    <w:p/>
    <w:p>
      <w:r>
        <w:rPr>
          <w:rFonts w:ascii="Times New Roman" w:hAnsi="Times New Roman"/>
          <w:b/>
          <w:sz w:val="26"/>
        </w:rPr>
        <w:t>Progress since last meeting</w:t>
      </w:r>
    </w:p>
    <w:p>
      <w:r>
        <w:rPr>
          <w:rFonts w:ascii="Times New Roman" w:hAnsi="Times New Roman"/>
          <w:b w:val="0"/>
          <w:i w:val="0"/>
          <w:sz w:val="22"/>
        </w:rPr>
        <w:t>Lilja has finished the tremor catalogue for the Reykjanes sequence and the first pass at the cross correlation with the gas flux record is promising. The analysis tasks on her Linear board are on schedule. The shared scripts are tidy and well documented, which will pay off at writing time. We agreed the catalogue is now stable enough to freeze for the first paper.</w:t>
      </w:r>
    </w:p>
    <w:p>
      <w:r>
        <w:rPr>
          <w:rFonts w:ascii="Times New Roman" w:hAnsi="Times New Roman"/>
          <w:b/>
          <w:sz w:val="26"/>
        </w:rPr>
        <w:t>Discussion</w:t>
      </w:r>
    </w:p>
    <w:p>
      <w:r>
        <w:rPr>
          <w:rFonts w:ascii="Times New Roman" w:hAnsi="Times New Roman"/>
          <w:b w:val="0"/>
          <w:i w:val="0"/>
          <w:sz w:val="22"/>
        </w:rPr>
        <w:t>We talked through how to present the tremor to gas comparison without overstating it. The signal is real but the sample of eruptions is small, and the thesis should say so plainly. We also discussed the summer field season and her role leading the tremor instrument checks during the highland campaign. She is ready for more field responsibility and has earned it.</w:t>
      </w:r>
    </w:p>
    <w:p>
      <w:r>
        <w:rPr>
          <w:rFonts w:ascii="Times New Roman" w:hAnsi="Times New Roman"/>
          <w:b/>
          <w:sz w:val="26"/>
        </w:rPr>
        <w:t>Action items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Item</w:t>
            </w:r>
          </w:p>
        </w:tc>
        <w:tc>
          <w:tcPr>
            <w:tcW w:type="dxa" w:w="3120"/>
          </w:tcPr>
          <w:p>
            <w:r/>
            <w:r>
              <w:rPr>
                <w:rFonts w:ascii="Times New Roman" w:hAnsi="Times New Roman"/>
                <w:b/>
                <w:sz w:val="20"/>
              </w:rPr>
              <w:t>Owner</w:t>
            </w:r>
          </w:p>
        </w:tc>
        <w:tc>
          <w:tcPr>
            <w:tcW w:type="dxa" w:w="3120"/>
          </w:tcPr>
          <w:p>
            <w:r/>
            <w:r>
              <w:rPr>
                <w:rFonts w:ascii="Times New Roman" w:hAnsi="Times New Roman"/>
                <w:b/>
                <w:sz w:val="20"/>
              </w:rPr>
              <w:t>Target</w:t>
            </w:r>
          </w:p>
        </w:tc>
      </w:tr>
      <w:tr>
        <w:tc>
          <w:tcPr>
            <w:tcW w:type="dxa" w:w="3120"/>
          </w:tcPr>
          <w:p>
            <w:r/>
            <w:r>
              <w:rPr>
                <w:rFonts w:ascii="Times New Roman" w:hAnsi="Times New Roman"/>
                <w:sz w:val="20"/>
              </w:rPr>
              <w:t>Freeze tremor catalogue v1</w:t>
            </w:r>
          </w:p>
        </w:tc>
        <w:tc>
          <w:tcPr>
            <w:tcW w:type="dxa" w:w="3120"/>
          </w:tcPr>
          <w:p>
            <w:r/>
            <w:r>
              <w:rPr>
                <w:rFonts w:ascii="Times New Roman" w:hAnsi="Times New Roman"/>
                <w:sz w:val="20"/>
              </w:rPr>
              <w:t>Lilja</w:t>
            </w:r>
          </w:p>
        </w:tc>
        <w:tc>
          <w:tcPr>
            <w:tcW w:type="dxa" w:w="3120"/>
          </w:tcPr>
          <w:p>
            <w:r/>
            <w:r>
              <w:rPr>
                <w:rFonts w:ascii="Times New Roman" w:hAnsi="Times New Roman"/>
                <w:sz w:val="20"/>
              </w:rPr>
              <w:t>End of February 2026</w:t>
            </w:r>
          </w:p>
        </w:tc>
      </w:tr>
      <w:tr>
        <w:tc>
          <w:tcPr>
            <w:tcW w:type="dxa" w:w="3120"/>
          </w:tcPr>
          <w:p>
            <w:r/>
            <w:r>
              <w:rPr>
                <w:rFonts w:ascii="Times New Roman" w:hAnsi="Times New Roman"/>
                <w:sz w:val="20"/>
              </w:rPr>
              <w:t>Draft methods section</w:t>
            </w:r>
          </w:p>
        </w:tc>
        <w:tc>
          <w:tcPr>
            <w:tcW w:type="dxa" w:w="3120"/>
          </w:tcPr>
          <w:p>
            <w:r/>
            <w:r>
              <w:rPr>
                <w:rFonts w:ascii="Times New Roman" w:hAnsi="Times New Roman"/>
                <w:sz w:val="20"/>
              </w:rPr>
              <w:t>Lilja</w:t>
            </w:r>
          </w:p>
        </w:tc>
        <w:tc>
          <w:tcPr>
            <w:tcW w:type="dxa" w:w="3120"/>
          </w:tcPr>
          <w:p>
            <w:r/>
            <w:r>
              <w:rPr>
                <w:rFonts w:ascii="Times New Roman" w:hAnsi="Times New Roman"/>
                <w:sz w:val="20"/>
              </w:rPr>
              <w:t>October 2026</w:t>
            </w:r>
          </w:p>
        </w:tc>
      </w:tr>
      <w:tr>
        <w:tc>
          <w:tcPr>
            <w:tcW w:type="dxa" w:w="3120"/>
          </w:tcPr>
          <w:p>
            <w:r/>
            <w:r>
              <w:rPr>
                <w:rFonts w:ascii="Times New Roman" w:hAnsi="Times New Roman"/>
                <w:sz w:val="20"/>
              </w:rPr>
              <w:t>Review draft methods</w:t>
            </w:r>
          </w:p>
        </w:tc>
        <w:tc>
          <w:tcPr>
            <w:tcW w:type="dxa" w:w="3120"/>
          </w:tcPr>
          <w:p>
            <w:r/>
            <w:r>
              <w:rPr>
                <w:rFonts w:ascii="Times New Roman" w:hAnsi="Times New Roman"/>
                <w:sz w:val="20"/>
              </w:rPr>
              <w:t>Martha Glass</w:t>
            </w:r>
          </w:p>
        </w:tc>
        <w:tc>
          <w:tcPr>
            <w:tcW w:type="dxa" w:w="3120"/>
          </w:tcPr>
          <w:p>
            <w:r/>
            <w:r>
              <w:rPr>
                <w:rFonts w:ascii="Times New Roman" w:hAnsi="Times New Roman"/>
                <w:sz w:val="20"/>
              </w:rPr>
              <w:t>Within two weeks of draft</w:t>
            </w:r>
          </w:p>
        </w:tc>
      </w:tr>
      <w:tr>
        <w:tc>
          <w:tcPr>
            <w:tcW w:type="dxa" w:w="3120"/>
          </w:tcPr>
          <w:p>
            <w:r/>
            <w:r>
              <w:rPr>
                <w:rFonts w:ascii="Times New Roman" w:hAnsi="Times New Roman"/>
                <w:sz w:val="20"/>
              </w:rPr>
              <w:t>Confirm field instrument list</w:t>
            </w:r>
          </w:p>
        </w:tc>
        <w:tc>
          <w:tcPr>
            <w:tcW w:type="dxa" w:w="3120"/>
          </w:tcPr>
          <w:p>
            <w:r/>
            <w:r>
              <w:rPr>
                <w:rFonts w:ascii="Times New Roman" w:hAnsi="Times New Roman"/>
                <w:sz w:val="20"/>
              </w:rPr>
              <w:t>Lilja</w:t>
            </w:r>
          </w:p>
        </w:tc>
        <w:tc>
          <w:tcPr>
            <w:tcW w:type="dxa" w:w="3120"/>
          </w:tcPr>
          <w:p>
            <w:r/>
            <w:r>
              <w:rPr>
                <w:rFonts w:ascii="Times New Roman" w:hAnsi="Times New Roman"/>
                <w:sz w:val="20"/>
              </w:rPr>
              <w:t>Before campaign</w:t>
            </w:r>
          </w:p>
        </w:tc>
      </w:tr>
      <w:tr>
        <w:tc>
          <w:tcPr>
            <w:tcW w:type="dxa" w:w="3120"/>
          </w:tcPr>
          <w:p>
            <w:r/>
            <w:r>
              <w:rPr>
                <w:rFonts w:ascii="Times New Roman" w:hAnsi="Times New Roman"/>
                <w:sz w:val="20"/>
              </w:rPr>
              <w:t>Conference abstract for the assembly</w:t>
            </w:r>
          </w:p>
        </w:tc>
        <w:tc>
          <w:tcPr>
            <w:tcW w:type="dxa" w:w="3120"/>
          </w:tcPr>
          <w:p>
            <w:r/>
            <w:r>
              <w:rPr>
                <w:rFonts w:ascii="Times New Roman" w:hAnsi="Times New Roman"/>
                <w:sz w:val="20"/>
              </w:rPr>
              <w:t>Both</w:t>
            </w:r>
          </w:p>
        </w:tc>
        <w:tc>
          <w:tcPr>
            <w:tcW w:type="dxa" w:w="3120"/>
          </w:tcPr>
          <w:p>
            <w:r/>
            <w:r>
              <w:rPr>
                <w:rFonts w:ascii="Times New Roman" w:hAnsi="Times New Roman"/>
                <w:sz w:val="20"/>
              </w:rPr>
              <w:t>October 2026</w:t>
            </w:r>
          </w:p>
        </w:tc>
      </w:tr>
    </w:tbl>
    <w:p/>
    <w:p>
      <w:r>
        <w:rPr>
          <w:rFonts w:ascii="Times New Roman" w:hAnsi="Times New Roman"/>
          <w:b/>
          <w:sz w:val="26"/>
        </w:rPr>
        <w:t>Notes</w:t>
      </w:r>
    </w:p>
    <w:p>
      <w:r>
        <w:rPr>
          <w:rFonts w:ascii="Times New Roman" w:hAnsi="Times New Roman"/>
          <w:b w:val="0"/>
          <w:i w:val="0"/>
          <w:sz w:val="22"/>
        </w:rPr>
        <w:t>Lilja is my most promising student and is approaching the point where the work is genuinely hers to drive. Supervision from here is mostly about protecting her time and helping her say what the data supports and no more. Pastoral note kept separately.</w:t>
      </w:r>
    </w:p>
    <w:p>
      <w:r>
        <w:rPr>
          <w:rFonts w:ascii="Times New Roman" w:hAnsi="Times New Roman"/>
          <w:i/>
          <w:sz w:val="18"/>
        </w:rPr>
        <w:t>Supervision record. Personnel and assessment matters are kept in the appropriate university system, not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