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Mentorship Prep Notes - for Yvonne</w:t>
      </w:r>
    </w:p>
    <w:p>
      <w:r>
        <w:t>Prepared February 27, 2026, ahead of the next monthly coffee.</w:t>
      </w:r>
    </w:p>
    <w:p/>
    <w:p>
      <w:r>
        <w:rPr>
          <w:b/>
          <w:sz w:val="24"/>
        </w:rPr>
        <w:t>Where I am</w:t>
      </w:r>
    </w:p>
    <w:p>
      <w:r>
        <w:t>Two years into the Social Media Coordinator role at Rising Voices. I own the content end to end, which I am proud of, but I am starting to feel the ceiling. The title has not changed and the scope keeps growing. I am running Know Your Rights, building Voices Unheard for October, and I am the live coverage for the November gala. It is a lot for one coordinator.</w:t>
      </w:r>
    </w:p>
    <w:p>
      <w:r>
        <w:rPr>
          <w:b/>
          <w:sz w:val="24"/>
        </w:rPr>
        <w:t>What I want to talk about</w:t>
      </w:r>
    </w:p>
    <w:p>
      <w:r>
        <w:t>1. Whether I need to leave Rising Voices to become a communications director, or whether there is a path to grow the role here. Denise is stretched thin and I do not know if she has the bandwidth to build that path with me.</w:t>
      </w:r>
    </w:p>
    <w:p>
      <w:r>
        <w:t>2. How to apply for director roles when my title still says coordinator. I drafted a cover letter for Community Forward Georgia. I want your eyes on how I am framing the jump.</w:t>
      </w:r>
    </w:p>
    <w:p>
      <w:r>
        <w:t>3. The burnout question, honestly. I am not in crisis but I can see the edge from here, and I would rather talk about it now than later.</w:t>
      </w:r>
    </w:p>
    <w:p>
      <w:r>
        <w:rPr>
          <w:b/>
          <w:sz w:val="24"/>
        </w:rPr>
        <w:t>Wins since last time</w:t>
      </w:r>
    </w:p>
    <w:p>
      <w:r>
        <w:t>Know Your Rights engagement is up across the board. The February volunteer call post did 6,010 impressions. I am getting faster at a design app and I have started keeping a content idea backlog so I am not building every campaign from zero.</w:t>
      </w:r>
    </w:p>
    <w:p>
      <w:r>
        <w:rPr>
          <w:b/>
          <w:sz w:val="24"/>
        </w:rPr>
        <w:t>Ask</w:t>
      </w:r>
    </w:p>
    <w:p>
      <w:r>
        <w:t>Help me decide if the next move is internal or external, and by when I should decide. I do not want to drift into another year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