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Times New Roman" w:hAnsi="Times New Roman"/>
          <w:b/>
          <w:sz w:val="22"/>
        </w:rPr>
        <w:t>DRAFT - INTERNAL ONLY - NOT FOR DISTRIBUTION</w:t>
      </w:r>
    </w:p>
    <w:p>
      <w:pPr>
        <w:spacing w:before="200" w:after="80"/>
      </w:pPr>
      <w:r>
        <w:rPr>
          <w:rFonts w:ascii="Times New Roman" w:hAnsi="Times New Roman"/>
          <w:b/>
          <w:sz w:val="28"/>
        </w:rPr>
        <w:t>Urban Respiratory Illness Surveillance Network (URISN)</w:t>
      </w:r>
    </w:p>
    <w:p>
      <w:pPr>
        <w:spacing w:before="200" w:after="80"/>
      </w:pPr>
      <w:r>
        <w:rPr>
          <w:rFonts w:ascii="Times New Roman" w:hAnsi="Times New Roman"/>
          <w:b/>
          <w:sz w:val="26"/>
        </w:rPr>
        <w:t>Grant Renewal Application - Narrative Draft</w:t>
      </w:r>
    </w:p>
    <w:p>
      <w:pPr>
        <w:spacing w:before="40" w:after="120"/>
      </w:pPr>
      <w:r>
        <w:rPr>
          <w:rFonts w:ascii="Times New Roman" w:hAnsi="Times New Roman"/>
          <w:b w:val="0"/>
          <w:sz w:val="22"/>
        </w:rPr>
        <w:t>Submitted to: Meridian Public Health Foundation</w:t>
      </w:r>
    </w:p>
    <w:p>
      <w:pPr>
        <w:spacing w:before="40" w:after="120"/>
      </w:pPr>
      <w:r>
        <w:rPr>
          <w:rFonts w:ascii="Times New Roman" w:hAnsi="Times New Roman"/>
          <w:b w:val="0"/>
          <w:sz w:val="22"/>
        </w:rPr>
        <w:t>Grant Number: MPH-2023-URB-0417</w:t>
      </w:r>
    </w:p>
    <w:p>
      <w:pPr>
        <w:spacing w:before="40" w:after="120"/>
      </w:pPr>
      <w:r>
        <w:rPr>
          <w:rFonts w:ascii="Times New Roman" w:hAnsi="Times New Roman"/>
          <w:b w:val="0"/>
          <w:sz w:val="22"/>
        </w:rPr>
        <w:t>Principal Investigator: Gerald Marie Roman, PhD, MPH</w:t>
      </w:r>
    </w:p>
    <w:p>
      <w:pPr>
        <w:spacing w:before="40" w:after="120"/>
      </w:pPr>
      <w:r>
        <w:rPr>
          <w:rFonts w:ascii="Times New Roman" w:hAnsi="Times New Roman"/>
          <w:b w:val="0"/>
          <w:sz w:val="22"/>
        </w:rPr>
        <w:t>Institution: Chesapeake Institute of Public Health, Baltimore, MD</w:t>
      </w:r>
    </w:p>
    <w:p>
      <w:pPr>
        <w:spacing w:before="40" w:after="120"/>
      </w:pPr>
      <w:r>
        <w:rPr>
          <w:rFonts w:ascii="Times New Roman" w:hAnsi="Times New Roman"/>
          <w:b w:val="0"/>
          <w:sz w:val="22"/>
        </w:rPr>
        <w:t>Submission deadline: November 9, 2026</w:t>
      </w:r>
    </w:p>
    <w:p>
      <w:pPr>
        <w:spacing w:before="40" w:after="120"/>
      </w:pPr>
      <w:r>
        <w:rPr>
          <w:rFonts w:ascii="Times New Roman" w:hAnsi="Times New Roman"/>
          <w:b w:val="0"/>
          <w:sz w:val="22"/>
        </w:rPr>
        <w:t>Requested renewal amount: $141,667</w:t>
      </w:r>
    </w:p>
    <w:p/>
    <w:p>
      <w:pPr>
        <w:spacing w:before="200" w:after="80"/>
      </w:pPr>
      <w:r>
        <w:rPr>
          <w:rFonts w:ascii="Times New Roman" w:hAnsi="Times New Roman"/>
          <w:b/>
          <w:sz w:val="26"/>
        </w:rPr>
        <w:t>SPECIFIC AIMS</w:t>
      </w:r>
    </w:p>
    <w:p>
      <w:pPr>
        <w:spacing w:before="40" w:after="120"/>
      </w:pPr>
      <w:r>
        <w:rPr>
          <w:rFonts w:ascii="Times New Roman" w:hAnsi="Times New Roman"/>
          <w:b w:val="0"/>
          <w:sz w:val="22"/>
        </w:rPr>
        <w:t>The Urban Respiratory Illness Surveillance Network (URISN) is a community-embedded, multi-site prospective surveillance network tracking respiratory illness incidence, distribution, and social determinants across six Baltimore City neighborhoods. URISN was launched in January 2023 with three-year support from the Meridian Public Health Foundation (Grant MPH-2023-URB-0417, total award $425,000). The initial three-year award established the infrastructure, enrolled 2,847 participants, and produced six community data reports and two peer-reviewed publications, with two additional manuscripts in preparation.</w:t>
      </w:r>
    </w:p>
    <w:p>
      <w:pPr>
        <w:spacing w:before="40" w:after="120"/>
      </w:pPr>
      <w:r>
        <w:rPr>
          <w:rFonts w:ascii="Times New Roman" w:hAnsi="Times New Roman"/>
          <w:b w:val="0"/>
          <w:sz w:val="22"/>
        </w:rPr>
        <w:t>In the renewal period, we propose to:</w:t>
      </w:r>
    </w:p>
    <w:p>
      <w:pPr>
        <w:spacing w:before="40" w:after="120"/>
        <w:ind w:left="720"/>
      </w:pPr>
      <w:r>
        <w:rPr>
          <w:rFonts w:ascii="Times New Roman" w:hAnsi="Times New Roman"/>
          <w:b w:val="0"/>
          <w:sz w:val="22"/>
        </w:rPr>
        <w:t>Aim 1: Continue prospective surveillance across all six sites, maintaining enrollment continuity and achieving at least 80% follow-up retention among existing participants.</w:t>
      </w:r>
    </w:p>
    <w:p>
      <w:pPr>
        <w:spacing w:before="40" w:after="120"/>
        <w:ind w:left="720"/>
      </w:pPr>
      <w:r>
        <w:rPr>
          <w:rFonts w:ascii="Times New Roman" w:hAnsi="Times New Roman"/>
          <w:b w:val="0"/>
          <w:sz w:val="22"/>
        </w:rPr>
        <w:t>Aim 2: Conduct a longitudinal analysis examining whether changes in housing quality between Year 1 and Year 3 are associated with corresponding changes in respiratory illness incidence at the individual level, extending our cross-sectional findings from the Year 2 manuscript.</w:t>
      </w:r>
    </w:p>
    <w:p>
      <w:pPr>
        <w:spacing w:before="40" w:after="120"/>
        <w:ind w:left="720"/>
      </w:pPr>
      <w:r>
        <w:rPr>
          <w:rFonts w:ascii="Times New Roman" w:hAnsi="Times New Roman"/>
          <w:b w:val="0"/>
          <w:sz w:val="22"/>
        </w:rPr>
        <w:t>Aim 3: Produce a final synthesis report for community stakeholders, policymakers, and the Meridian Foundation documenting the three-year surveillance findings, with actionable recommendations for housing and public health policy in Baltimore.</w:t>
      </w:r>
    </w:p>
    <w:p>
      <w:pPr>
        <w:spacing w:before="40" w:after="120"/>
        <w:ind w:left="720"/>
      </w:pPr>
      <w:r>
        <w:rPr>
          <w:rFonts w:ascii="Times New Roman" w:hAnsi="Times New Roman"/>
          <w:b w:val="0"/>
          <w:sz w:val="22"/>
        </w:rPr>
        <w:t>Aim 4: Disseminate findings through at least two peer-reviewed publications and one presentation at a national conference.</w:t>
      </w:r>
    </w:p>
    <w:p/>
    <w:p>
      <w:pPr>
        <w:spacing w:before="200" w:after="80"/>
      </w:pPr>
      <w:r>
        <w:rPr>
          <w:rFonts w:ascii="Times New Roman" w:hAnsi="Times New Roman"/>
          <w:b/>
          <w:sz w:val="26"/>
        </w:rPr>
        <w:t>SIGNIFICANCE</w:t>
      </w:r>
    </w:p>
    <w:p>
      <w:pPr>
        <w:spacing w:before="40" w:after="120"/>
      </w:pPr>
      <w:r>
        <w:rPr>
          <w:rFonts w:ascii="Times New Roman" w:hAnsi="Times New Roman"/>
          <w:b w:val="0"/>
          <w:sz w:val="22"/>
        </w:rPr>
        <w:t>Respiratory illness is among the leading causes of ambulatory care visits, emergency department utilization, and lost work and school days in Baltimore. The burden is concentrated in neighborhoods characterized by older housing stock, higher rates of poverty, and limited access to primary care - the same neighborhoods enrolled in URISN. Despite this concentration, there is no sustained, multi-site surveillance effort in Baltimore that tracks respiratory illness at the neighborhood level with individual-level data collection. URISN fills this gap.</w:t>
      </w:r>
    </w:p>
    <w:p>
      <w:pPr>
        <w:spacing w:before="40" w:after="120"/>
      </w:pPr>
      <w:r>
        <w:rPr>
          <w:rFonts w:ascii="Times New Roman" w:hAnsi="Times New Roman"/>
          <w:b w:val="0"/>
          <w:sz w:val="22"/>
        </w:rPr>
        <w:t>Year 2 findings demonstrated that housing quality, as measured by the URISN Housing Quality Index, is independently associated with respiratory illness incidence in our surveillance population. The cross-sectional design of that analysis, while carefully conducted, cannot establish the temporal ordering required for causal inference. Year 3 data will allow us to construct a longitudinal dataset with two time points for housing quality measurement (enrollment and Year 3 re-assessment) and approximately 36 months of prospective illness follow-up per participant. This design substantially strengthens the inferential basis for policy recommendations and constitutes a meaningful methodological advancement over the existing literature.</w:t>
      </w:r>
    </w:p>
    <w:p>
      <w:pPr>
        <w:spacing w:before="40" w:after="120"/>
      </w:pPr>
      <w:r>
        <w:rPr>
          <w:rFonts w:ascii="Times New Roman" w:hAnsi="Times New Roman"/>
          <w:b w:val="0"/>
          <w:sz w:val="22"/>
        </w:rPr>
        <w:t>The policy environment in Baltimore has also shifted in ways that increase the relevance of URISN findings. The Baltimore City Council is actively reviewing revisions to the Rental Registration Program that would affect housing inspection frequency and remediation requirements. Our Year 3 synthesis report is timed to inform this process.</w:t>
      </w:r>
    </w:p>
    <w:p/>
    <w:p>
      <w:pPr>
        <w:spacing w:before="200" w:after="80"/>
      </w:pPr>
      <w:r>
        <w:rPr>
          <w:rFonts w:ascii="Times New Roman" w:hAnsi="Times New Roman"/>
          <w:b/>
          <w:sz w:val="26"/>
        </w:rPr>
        <w:t>INNOVATION</w:t>
      </w:r>
    </w:p>
    <w:p>
      <w:pPr>
        <w:spacing w:before="40" w:after="120"/>
      </w:pPr>
      <w:r>
        <w:rPr>
          <w:rFonts w:ascii="Times New Roman" w:hAnsi="Times New Roman"/>
          <w:b w:val="0"/>
          <w:sz w:val="22"/>
        </w:rPr>
        <w:t>URISN makes three innovations relative to prior urban respiratory surveillance work. First, it operates at the neighborhood level rather than the city or county level, allowing detection of fine-grained geographic heterogeneity that aggregate data systems obscure. Second, it integrates administrative housing data with individual self-report in a composite exposure measure, reducing reliance on either source alone. Third, it is embedded in community partnerships that support both participant retention and community translation of findings - an approach that has contributed to a 91% follow-up retention rate through Year 2, well above typical prospective study benchmarks.</w:t>
      </w:r>
    </w:p>
    <w:p/>
    <w:p>
      <w:pPr>
        <w:spacing w:before="200" w:after="80"/>
      </w:pPr>
      <w:r>
        <w:rPr>
          <w:rFonts w:ascii="Times New Roman" w:hAnsi="Times New Roman"/>
          <w:b/>
          <w:sz w:val="26"/>
        </w:rPr>
        <w:t>APPROACH</w:t>
      </w:r>
    </w:p>
    <w:p>
      <w:pPr>
        <w:spacing w:before="200" w:after="80"/>
      </w:pPr>
      <w:r>
        <w:rPr>
          <w:rFonts w:ascii="Times New Roman" w:hAnsi="Times New Roman"/>
          <w:b/>
          <w:sz w:val="24"/>
        </w:rPr>
        <w:t>Renewal Period Activities and Timeline</w:t>
      </w:r>
    </w:p>
    <w:p>
      <w:pPr>
        <w:spacing w:before="200" w:after="80"/>
      </w:pPr>
      <w:r>
        <w:rPr>
          <w:rFonts w:ascii="Times New Roman" w:hAnsi="Times New Roman"/>
          <w:b/>
          <w:sz w:val="22"/>
        </w:rPr>
        <w:t>October 2026 to December 2026</w:t>
      </w:r>
    </w:p>
    <w:p>
      <w:pPr>
        <w:spacing w:before="40" w:after="120"/>
        <w:ind w:left="720"/>
      </w:pPr>
      <w:r>
        <w:rPr>
          <w:rFonts w:ascii="Times New Roman" w:hAnsi="Times New Roman"/>
          <w:b w:val="0"/>
          <w:sz w:val="22"/>
        </w:rPr>
        <w:t>Complete Q4 2026 site visits across all six neighborhoods. Conduct a renewal-period housing quality re-assessment for all active participants. Present Year 2 findings at National Conference of Epidemiologists (Chicago, October 2026).</w:t>
      </w:r>
    </w:p>
    <w:p>
      <w:pPr>
        <w:spacing w:before="200" w:after="80"/>
      </w:pPr>
      <w:r>
        <w:rPr>
          <w:rFonts w:ascii="Times New Roman" w:hAnsi="Times New Roman"/>
          <w:b/>
          <w:sz w:val="22"/>
        </w:rPr>
        <w:t>January 2027 to March 2027</w:t>
      </w:r>
    </w:p>
    <w:p>
      <w:pPr>
        <w:spacing w:before="40" w:after="120"/>
        <w:ind w:left="720"/>
      </w:pPr>
      <w:r>
        <w:rPr>
          <w:rFonts w:ascii="Times New Roman" w:hAnsi="Times New Roman"/>
          <w:b w:val="0"/>
          <w:sz w:val="22"/>
        </w:rPr>
        <w:t>Complete data cleaning and longitudinal dataset construction. Begin longitudinal analysis under Aim 2. Draft Aim 2 manuscript.</w:t>
      </w:r>
    </w:p>
    <w:p>
      <w:pPr>
        <w:spacing w:before="200" w:after="80"/>
      </w:pPr>
      <w:r>
        <w:rPr>
          <w:rFonts w:ascii="Times New Roman" w:hAnsi="Times New Roman"/>
          <w:b/>
          <w:sz w:val="22"/>
        </w:rPr>
        <w:t>April 2027 to June 2027</w:t>
      </w:r>
    </w:p>
    <w:p>
      <w:pPr>
        <w:spacing w:before="40" w:after="120"/>
        <w:ind w:left="720"/>
      </w:pPr>
      <w:r>
        <w:rPr>
          <w:rFonts w:ascii="Times New Roman" w:hAnsi="Times New Roman"/>
          <w:b w:val="0"/>
          <w:sz w:val="22"/>
        </w:rPr>
        <w:t>Submit Aim 2 manuscript for peer review. Draft Aim 3 synthesis report in consultation with community advisory group.</w:t>
      </w:r>
    </w:p>
    <w:p>
      <w:pPr>
        <w:spacing w:before="200" w:after="80"/>
      </w:pPr>
      <w:r>
        <w:rPr>
          <w:rFonts w:ascii="Times New Roman" w:hAnsi="Times New Roman"/>
          <w:b/>
          <w:sz w:val="22"/>
        </w:rPr>
        <w:t>July 2027 to September 2027</w:t>
      </w:r>
    </w:p>
    <w:p>
      <w:pPr>
        <w:spacing w:before="40" w:after="120"/>
        <w:ind w:left="720"/>
      </w:pPr>
      <w:r>
        <w:rPr>
          <w:rFonts w:ascii="Times New Roman" w:hAnsi="Times New Roman"/>
          <w:b w:val="0"/>
          <w:sz w:val="22"/>
        </w:rPr>
        <w:t>Finalize and disseminate community synthesis report. Submit final Meridian Foundation progress report. Submit second Year 3 manuscript.</w:t>
      </w:r>
    </w:p>
    <w:p/>
    <w:p>
      <w:pPr>
        <w:spacing w:before="200" w:after="80"/>
      </w:pPr>
      <w:r>
        <w:rPr>
          <w:rFonts w:ascii="Times New Roman" w:hAnsi="Times New Roman"/>
          <w:b/>
          <w:sz w:val="26"/>
        </w:rPr>
        <w:t>TEAM AND KEY PERSONNEL</w:t>
      </w:r>
    </w:p>
    <w:p>
      <w:pPr>
        <w:spacing w:before="200" w:after="80"/>
      </w:pPr>
      <w:r>
        <w:rPr>
          <w:rFonts w:ascii="Times New Roman" w:hAnsi="Times New Roman"/>
          <w:b/>
          <w:sz w:val="22"/>
        </w:rPr>
        <w:t>Gerald Marie Roman, PhD, MPH (Principal Investigator, 50% effort)</w:t>
      </w:r>
    </w:p>
    <w:p>
      <w:pPr>
        <w:spacing w:before="40" w:after="120"/>
        <w:ind w:left="720"/>
      </w:pPr>
      <w:r>
        <w:rPr>
          <w:rFonts w:ascii="Times New Roman" w:hAnsi="Times New Roman"/>
          <w:b w:val="0"/>
          <w:sz w:val="22"/>
        </w:rPr>
        <w:t>Dr. Roman will provide overall scientific leadership, oversee data analysis, lead manuscript preparation, and present findings at national conferences. She is the architect of the URISN design and has directed all Year 1 and Year 2 activities.</w:t>
      </w:r>
    </w:p>
    <w:p>
      <w:pPr>
        <w:spacing w:before="200" w:after="80"/>
      </w:pPr>
      <w:r>
        <w:rPr>
          <w:rFonts w:ascii="Times New Roman" w:hAnsi="Times New Roman"/>
          <w:b/>
          <w:sz w:val="22"/>
        </w:rPr>
        <w:t>Eleanor L. Voss, ScD (Co-Investigator, 10% effort)</w:t>
      </w:r>
    </w:p>
    <w:p>
      <w:pPr>
        <w:spacing w:before="40" w:after="120"/>
        <w:ind w:left="720"/>
      </w:pPr>
      <w:r>
        <w:rPr>
          <w:rFonts w:ascii="Times New Roman" w:hAnsi="Times New Roman"/>
          <w:b w:val="0"/>
          <w:sz w:val="22"/>
        </w:rPr>
        <w:t>Dr. Voss provides senior scientific oversight and mentorship. She will review all manuscripts and reports prior to submission and advise on grant strategy.</w:t>
      </w:r>
    </w:p>
    <w:p>
      <w:pPr>
        <w:spacing w:before="200" w:after="80"/>
      </w:pPr>
      <w:r>
        <w:rPr>
          <w:rFonts w:ascii="Times New Roman" w:hAnsi="Times New Roman"/>
          <w:b/>
          <w:sz w:val="22"/>
        </w:rPr>
        <w:t>Marcus J. Hayes, PhD (Biostatistician, 20% effort)</w:t>
      </w:r>
    </w:p>
    <w:p>
      <w:pPr>
        <w:spacing w:before="40" w:after="120"/>
        <w:ind w:left="720"/>
      </w:pPr>
      <w:r>
        <w:rPr>
          <w:rFonts w:ascii="Times New Roman" w:hAnsi="Times New Roman"/>
          <w:b w:val="0"/>
          <w:sz w:val="22"/>
        </w:rPr>
        <w:t>Dr. Hayes will lead all statistical analyses, including the Year 3 longitudinal models. He has been the biostatistical lead since URISN launch.</w:t>
      </w:r>
    </w:p>
    <w:p>
      <w:pPr>
        <w:spacing w:before="200" w:after="80"/>
      </w:pPr>
      <w:r>
        <w:rPr>
          <w:rFonts w:ascii="Times New Roman" w:hAnsi="Times New Roman"/>
          <w:b/>
          <w:sz w:val="22"/>
        </w:rPr>
        <w:t>Yemi O. Adeyemi, MPH (Research Assistant, 100% effort)</w:t>
      </w:r>
    </w:p>
    <w:p>
      <w:pPr>
        <w:spacing w:before="40" w:after="120"/>
        <w:ind w:left="720"/>
      </w:pPr>
      <w:r>
        <w:rPr>
          <w:rFonts w:ascii="Times New Roman" w:hAnsi="Times New Roman"/>
          <w:b w:val="0"/>
          <w:sz w:val="22"/>
        </w:rPr>
        <w:t>Mr. Adeyemi manages site operations, coordinates participant follow-up, and performs primary data entry and cleaning.</w:t>
      </w:r>
    </w:p>
    <w:p>
      <w:pPr>
        <w:spacing w:before="200" w:after="80"/>
      </w:pPr>
      <w:r>
        <w:rPr>
          <w:rFonts w:ascii="Times New Roman" w:hAnsi="Times New Roman"/>
          <w:b/>
          <w:sz w:val="22"/>
        </w:rPr>
        <w:t>Sarah H. Kim, MPH (Research Assistant, 100% effort)</w:t>
      </w:r>
    </w:p>
    <w:p>
      <w:pPr>
        <w:spacing w:before="40" w:after="120"/>
        <w:ind w:left="720"/>
      </w:pPr>
      <w:r>
        <w:rPr>
          <w:rFonts w:ascii="Times New Roman" w:hAnsi="Times New Roman"/>
          <w:b w:val="0"/>
          <w:sz w:val="22"/>
        </w:rPr>
        <w:t>Ms. Kim manages participant recruitment, community liaison relationships, and secondary data collection.</w:t>
      </w:r>
    </w:p>
    <w:p/>
    <w:p>
      <w:pPr>
        <w:spacing w:before="200" w:after="80"/>
      </w:pPr>
      <w:r>
        <w:rPr>
          <w:rFonts w:ascii="Times New Roman" w:hAnsi="Times New Roman"/>
          <w:b/>
          <w:sz w:val="26"/>
        </w:rPr>
        <w:t>BUDGET JUSTIFICATION (RENEWAL PERIOD, REQUESTED: $141,667)</w:t>
      </w:r>
    </w:p>
    <w:p>
      <w:pPr>
        <w:spacing w:before="200" w:after="80"/>
      </w:pPr>
      <w:r>
        <w:rPr>
          <w:rFonts w:ascii="Times New Roman" w:hAnsi="Times New Roman"/>
          <w:b/>
          <w:sz w:val="22"/>
        </w:rPr>
        <w:t>Personnel (total: $118,400)</w:t>
      </w:r>
    </w:p>
    <w:p>
      <w:pPr>
        <w:spacing w:before="40" w:after="120"/>
        <w:ind w:left="720"/>
      </w:pPr>
      <w:r>
        <w:rPr>
          <w:rFonts w:ascii="Times New Roman" w:hAnsi="Times New Roman"/>
          <w:b w:val="0"/>
          <w:sz w:val="22"/>
        </w:rPr>
        <w:t>PI effort (50% of $88,000 salary + 28% fringe): $56,320. Biostatistician effort (20% of $115,000 + 28% fringe): $29,440. Two research assistants at 100% effort ($26,000 each + 28% fringe = $66,560 gross, less $33,920 prior-year carryforward): $32,640. See budget detail sheet.</w:t>
      </w:r>
    </w:p>
    <w:p>
      <w:pPr>
        <w:spacing w:before="200" w:after="80"/>
      </w:pPr>
      <w:r>
        <w:rPr>
          <w:rFonts w:ascii="Times New Roman" w:hAnsi="Times New Roman"/>
          <w:b/>
          <w:sz w:val="22"/>
        </w:rPr>
        <w:t>Participant incentives ($6,000)</w:t>
      </w:r>
    </w:p>
    <w:p>
      <w:pPr>
        <w:spacing w:before="40" w:after="120"/>
        <w:ind w:left="720"/>
      </w:pPr>
      <w:r>
        <w:rPr>
          <w:rFonts w:ascii="Times New Roman" w:hAnsi="Times New Roman"/>
          <w:b w:val="0"/>
          <w:sz w:val="22"/>
        </w:rPr>
        <w:t>Year 3 re-assessment incentive of $25 per participant for housing quality re-survey, estimated 240 active participants.</w:t>
      </w:r>
    </w:p>
    <w:p>
      <w:pPr>
        <w:spacing w:before="200" w:after="80"/>
      </w:pPr>
      <w:r>
        <w:rPr>
          <w:rFonts w:ascii="Times New Roman" w:hAnsi="Times New Roman"/>
          <w:b/>
          <w:sz w:val="22"/>
        </w:rPr>
        <w:t>Data and computing ($4,200)</w:t>
      </w:r>
    </w:p>
    <w:p>
      <w:pPr>
        <w:spacing w:before="40" w:after="120"/>
        <w:ind w:left="720"/>
      </w:pPr>
      <w:r>
        <w:rPr>
          <w:rFonts w:ascii="Times New Roman" w:hAnsi="Times New Roman"/>
          <w:b w:val="0"/>
          <w:sz w:val="22"/>
        </w:rPr>
        <w:t>CIPH research computing allocation for URISN analysis jobs, secure data storage, and Airtable site operations license renewal.</w:t>
      </w:r>
    </w:p>
    <w:p>
      <w:pPr>
        <w:spacing w:before="200" w:after="80"/>
      </w:pPr>
      <w:r>
        <w:rPr>
          <w:rFonts w:ascii="Times New Roman" w:hAnsi="Times New Roman"/>
          <w:b/>
          <w:sz w:val="22"/>
        </w:rPr>
        <w:t>Dissemination ($8,277)</w:t>
      </w:r>
    </w:p>
    <w:p>
      <w:pPr>
        <w:spacing w:before="40" w:after="120"/>
        <w:ind w:left="720"/>
      </w:pPr>
      <w:r>
        <w:rPr>
          <w:rFonts w:ascii="Times New Roman" w:hAnsi="Times New Roman"/>
          <w:b w:val="0"/>
          <w:sz w:val="22"/>
        </w:rPr>
        <w:t>Publication open-access fees ($3,000 estimated for two manuscripts), conference travel for PI ($3,500 for one additional conference beyond NCE, TBD), community report printing and distribution ($1,777).</w:t>
      </w:r>
    </w:p>
    <w:p>
      <w:pPr>
        <w:spacing w:before="200" w:after="80"/>
      </w:pPr>
      <w:r>
        <w:rPr>
          <w:rFonts w:ascii="Times New Roman" w:hAnsi="Times New Roman"/>
          <w:b/>
          <w:sz w:val="22"/>
        </w:rPr>
        <w:t>Indirect costs ($4,790)</w:t>
      </w:r>
    </w:p>
    <w:p>
      <w:pPr>
        <w:spacing w:before="40" w:after="120"/>
        <w:ind w:left="720"/>
      </w:pPr>
      <w:r>
        <w:rPr>
          <w:rFonts w:ascii="Times New Roman" w:hAnsi="Times New Roman"/>
          <w:b w:val="0"/>
          <w:sz w:val="22"/>
        </w:rPr>
        <w:t>Per Meridian Foundation indirect cost cap of 3.5% of total direct costs.</w:t>
      </w:r>
    </w:p>
    <w:p/>
    <w:p>
      <w:pPr>
        <w:spacing w:before="200" w:after="80"/>
      </w:pPr>
      <w:r>
        <w:rPr>
          <w:rFonts w:ascii="Times New Roman" w:hAnsi="Times New Roman"/>
          <w:b/>
          <w:sz w:val="26"/>
        </w:rPr>
        <w:t>EVALUATION PLAN</w:t>
      </w:r>
    </w:p>
    <w:p>
      <w:pPr>
        <w:spacing w:before="40" w:after="120"/>
      </w:pPr>
      <w:r>
        <w:rPr>
          <w:rFonts w:ascii="Times New Roman" w:hAnsi="Times New Roman"/>
          <w:b w:val="0"/>
          <w:sz w:val="22"/>
        </w:rPr>
        <w:t>Renewal-period success will be measured against the following benchmarks: (1) follow-up retention of at least 80% of Year 2 active participants through December 2026; (2) submission of Aim 2 longitudinal manuscript to a peer-reviewed journal by June 2027; (3) delivery of community synthesis report to all six neighborhood partner organizations by August 2027; (4) submission of final foundation report by September 2027. Progress against these benchmarks will be reported in the quarterly updates to the Meridian Foundation through the Box-shared reporting folder.</w:t>
      </w:r>
    </w:p>
    <w:p/>
    <w:p>
      <w:pPr>
        <w:spacing w:before="200" w:after="80"/>
      </w:pPr>
      <w:r>
        <w:rPr>
          <w:rFonts w:ascii="Times New Roman" w:hAnsi="Times New Roman"/>
          <w:b/>
          <w:sz w:val="24"/>
        </w:rPr>
        <w:t>NOTES FOR REVISION BEFORE SUBMISSION (internal)</w:t>
      </w:r>
    </w:p>
    <w:p>
      <w:pPr>
        <w:spacing w:before="40" w:after="120"/>
        <w:ind w:left="720"/>
      </w:pPr>
      <w:r>
        <w:rPr>
          <w:rFonts w:ascii="Times New Roman" w:hAnsi="Times New Roman"/>
          <w:b w:val="0"/>
          <w:sz w:val="22"/>
        </w:rPr>
        <w:t>- Need Marcus to confirm 20% effort allocation - he mentioned possible conflict with the JHU collaboration. Confirm by October 25.</w:t>
      </w:r>
    </w:p>
    <w:p>
      <w:pPr>
        <w:spacing w:before="40" w:after="120"/>
        <w:ind w:left="720"/>
      </w:pPr>
      <w:r>
        <w:rPr>
          <w:rFonts w:ascii="Times New Roman" w:hAnsi="Times New Roman"/>
          <w:b w:val="0"/>
          <w:sz w:val="22"/>
        </w:rPr>
        <w:t>- Check Meridian indirect cost language - the cap may have changed since the Year 2 renewal. Pull the current grant terms from Box.</w:t>
      </w:r>
    </w:p>
    <w:p>
      <w:pPr>
        <w:spacing w:before="40" w:after="120"/>
        <w:ind w:left="720"/>
      </w:pPr>
      <w:r>
        <w:rPr>
          <w:rFonts w:ascii="Times New Roman" w:hAnsi="Times New Roman"/>
          <w:b w:val="0"/>
          <w:sz w:val="22"/>
        </w:rPr>
        <w:t>- Add IRB amendment reference once the Year 3 re-assessment protocol is approved. Submitted October 1, 2026 - approval expected by late October.</w:t>
      </w:r>
    </w:p>
    <w:p>
      <w:pPr>
        <w:spacing w:before="40" w:after="120"/>
        <w:ind w:left="720"/>
      </w:pPr>
      <w:r>
        <w:rPr>
          <w:rFonts w:ascii="Times New Roman" w:hAnsi="Times New Roman"/>
          <w:b w:val="0"/>
          <w:sz w:val="22"/>
        </w:rPr>
        <w:t>- Eleanor wants a paragraph added to Significance on the policy window. Draft and send to her for review by October 28.</w:t>
      </w:r>
    </w:p>
    <w:p>
      <w:pPr>
        <w:spacing w:before="40" w:after="120"/>
        <w:ind w:left="720"/>
      </w:pPr>
      <w:r>
        <w:rPr>
          <w:rFonts w:ascii="Times New Roman" w:hAnsi="Times New Roman"/>
          <w:b w:val="0"/>
          <w:sz w:val="22"/>
        </w:rPr>
        <w:t>- Budget detail sheet not yet complete - finish after salary confirmation from BambooHR.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