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pPr>
      <w:r>
        <w:rPr>
          <w:rFonts w:ascii="Times New Roman" w:hAnsi="Times New Roman"/>
          <w:b w:val="0"/>
          <w:sz w:val="22"/>
        </w:rPr>
        <w:t>Gerald Marie Roman, PhD, MPH</w:t>
      </w:r>
    </w:p>
    <w:p>
      <w:pPr>
        <w:spacing w:before="40" w:after="120"/>
      </w:pPr>
      <w:r>
        <w:rPr>
          <w:rFonts w:ascii="Times New Roman" w:hAnsi="Times New Roman"/>
          <w:b w:val="0"/>
          <w:sz w:val="22"/>
        </w:rPr>
        <w:t>Research Scientist, Chesapeake Institute of Public Health</w:t>
      </w:r>
    </w:p>
    <w:p>
      <w:pPr>
        <w:spacing w:before="40" w:after="120"/>
      </w:pPr>
      <w:r>
        <w:rPr>
          <w:rFonts w:ascii="Times New Roman" w:hAnsi="Times New Roman"/>
          <w:b w:val="0"/>
          <w:sz w:val="22"/>
        </w:rPr>
        <w:t>1640 Wolfe Street, Baltimore, MD 21205</w:t>
      </w:r>
    </w:p>
    <w:p>
      <w:pPr>
        <w:spacing w:before="40" w:after="120"/>
      </w:pPr>
      <w:r>
        <w:rPr>
          <w:rFonts w:ascii="Times New Roman" w:hAnsi="Times New Roman"/>
          <w:b w:val="0"/>
          <w:sz w:val="22"/>
        </w:rPr>
        <w:t>(410) 555-2819 | gerald.roman@gmail.com</w:t>
      </w:r>
    </w:p>
    <w:p/>
    <w:p>
      <w:pPr>
        <w:spacing w:before="40" w:after="120"/>
      </w:pPr>
      <w:r>
        <w:rPr>
          <w:rFonts w:ascii="Times New Roman" w:hAnsi="Times New Roman"/>
          <w:b w:val="0"/>
          <w:sz w:val="22"/>
        </w:rPr>
        <w:t>October 10, 2026</w:t>
      </w:r>
    </w:p>
    <w:p/>
    <w:p>
      <w:pPr>
        <w:spacing w:before="40" w:after="120"/>
      </w:pPr>
      <w:r>
        <w:rPr>
          <w:rFonts w:ascii="Times New Roman" w:hAnsi="Times New Roman"/>
          <w:b w:val="0"/>
          <w:sz w:val="22"/>
        </w:rPr>
        <w:t>Fellowship Selection Committee</w:t>
      </w:r>
    </w:p>
    <w:p>
      <w:pPr>
        <w:spacing w:before="40" w:after="120"/>
      </w:pPr>
      <w:r>
        <w:rPr>
          <w:rFonts w:ascii="Times New Roman" w:hAnsi="Times New Roman"/>
          <w:b w:val="0"/>
          <w:sz w:val="22"/>
        </w:rPr>
        <w:t>Robert Wood Johnson Foundation Health Policy Fellowship Program</w:t>
      </w:r>
    </w:p>
    <w:p/>
    <w:p>
      <w:pPr>
        <w:spacing w:before="40" w:after="120"/>
      </w:pPr>
      <w:r>
        <w:rPr>
          <w:rFonts w:ascii="Times New Roman" w:hAnsi="Times New Roman"/>
          <w:b w:val="0"/>
          <w:sz w:val="22"/>
        </w:rPr>
        <w:t>Dear Members of the Selection Committee,</w:t>
      </w:r>
    </w:p>
    <w:p/>
    <w:p>
      <w:pPr>
        <w:spacing w:before="40" w:after="120"/>
      </w:pPr>
      <w:r>
        <w:rPr>
          <w:rFonts w:ascii="Times New Roman" w:hAnsi="Times New Roman"/>
          <w:b w:val="0"/>
          <w:sz w:val="22"/>
        </w:rPr>
        <w:t>I write with genuine enthusiasm to recommend Priya Okonkwo for the Robert Wood Johnson Foundation Health Policy Fellowship. I have known Priya for two years in my capacity as an informal research mentor and as a collaborator on a subset of analyses for the Urban Respiratory Illness Surveillance Network. In that time, she has demonstrated the analytical rigor, the policy sensibility, and the intellectual honesty that this fellowship exists to cultivate.</w:t>
      </w:r>
    </w:p>
    <w:p/>
    <w:p>
      <w:pPr>
        <w:spacing w:before="40" w:after="120"/>
      </w:pPr>
      <w:r>
        <w:rPr>
          <w:rFonts w:ascii="Times New Roman" w:hAnsi="Times New Roman"/>
          <w:b w:val="0"/>
          <w:sz w:val="22"/>
        </w:rPr>
        <w:t>Priya came to my attention during a data analysis workshop I led at Kensington University in the fall of 2024, where she asked a question about ecological confounding that was sharper than anything else raised in the room that day. I offered to meet with her to discuss her dissertation, and what began as a single hour-long meeting became a sustained working relationship. She has since contributed to three sections of our URISN data documentation work, identified a coding error in our neighborhood classification schema that none of the senior team had caught, and co-authored a data note on our site recruitment approach that is currently under review.</w:t>
      </w:r>
    </w:p>
    <w:p/>
    <w:p>
      <w:pPr>
        <w:spacing w:before="40" w:after="120"/>
      </w:pPr>
      <w:r>
        <w:rPr>
          <w:rFonts w:ascii="Times New Roman" w:hAnsi="Times New Roman"/>
          <w:b w:val="0"/>
          <w:sz w:val="22"/>
        </w:rPr>
        <w:t>What distinguishes Priya from other talented graduate students is her ability to hold two registers simultaneously: she understands the technical requirements of rigorous quantitative work, and she never loses sight of the policy question that motivated the analysis. When we were working through our housing quality index weighting scheme, she was the one who stopped us to ask whether the weights we were proposing reflected what mattered to the residents or what was easiest to measure. That question changed the final instrument in a meaningful way. That is not a typical graduate student instinct, and it is exactly the instinct this fellowship should reward.</w:t>
      </w:r>
    </w:p>
    <w:p/>
    <w:p>
      <w:pPr>
        <w:spacing w:before="40" w:after="120"/>
      </w:pPr>
      <w:r>
        <w:rPr>
          <w:rFonts w:ascii="Times New Roman" w:hAnsi="Times New Roman"/>
          <w:b w:val="0"/>
          <w:sz w:val="22"/>
        </w:rPr>
        <w:t>I also want to note Priya's personal qualities as a colleague. She is direct without being combative, she revises her thinking when presented with good evidence, and she communicates clearly under deadline pressure. I have seen her navigate a difficult conversation with a senior faculty member over a methodological disagreement with more composure than many established researchers manage. She is the kind of person who will speak honestly in a room full of people who would prefer comfortable consensus, and she does it without burning relationships.</w:t>
      </w:r>
    </w:p>
    <w:p/>
    <w:p>
      <w:pPr>
        <w:spacing w:before="40" w:after="120"/>
      </w:pPr>
      <w:r>
        <w:rPr>
          <w:rFonts w:ascii="Times New Roman" w:hAnsi="Times New Roman"/>
          <w:b w:val="0"/>
          <w:sz w:val="22"/>
        </w:rPr>
        <w:t>In terms of areas for development: Priya tends toward excessive caution in her written work, hedging conclusions to the point where the policy implication gets obscured. This is a correctable tendency, and I suspect it will diminish as she gains confidence in her own judgments. I mention it not to qualify my support but because I think knowing it will help her mentors in the fellowship focus their coaching effectively.</w:t>
      </w:r>
    </w:p>
    <w:p/>
    <w:p>
      <w:pPr>
        <w:spacing w:before="40" w:after="120"/>
      </w:pPr>
      <w:r>
        <w:rPr>
          <w:rFonts w:ascii="Times New Roman" w:hAnsi="Times New Roman"/>
          <w:b w:val="0"/>
          <w:sz w:val="22"/>
        </w:rPr>
        <w:t>I recommend Priya Okonkwo without reservation for this fellowship. She is the right person for this opportunity, and this opportunity is the right one for her. I am happy to speak with any member of the committee by phone or email to elaborate on anything in this letter.</w:t>
      </w:r>
    </w:p>
    <w:p/>
    <w:p>
      <w:pPr>
        <w:spacing w:before="40" w:after="120"/>
      </w:pPr>
      <w:r>
        <w:rPr>
          <w:rFonts w:ascii="Times New Roman" w:hAnsi="Times New Roman"/>
          <w:b w:val="0"/>
          <w:sz w:val="22"/>
        </w:rPr>
        <w:t>Sincerely,</w:t>
      </w:r>
    </w:p>
    <w:p/>
    <w:p>
      <w:pPr>
        <w:spacing w:before="40" w:after="120"/>
      </w:pPr>
      <w:r>
        <w:rPr>
          <w:rFonts w:ascii="Times New Roman" w:hAnsi="Times New Roman"/>
          <w:b w:val="0"/>
          <w:sz w:val="22"/>
        </w:rPr>
        <w:t>Gerald Marie Roman, PhD, MPH</w:t>
      </w:r>
    </w:p>
    <w:p>
      <w:pPr>
        <w:spacing w:before="40" w:after="120"/>
      </w:pPr>
      <w:r>
        <w:rPr>
          <w:rFonts w:ascii="Times New Roman" w:hAnsi="Times New Roman"/>
          <w:b w:val="0"/>
          <w:sz w:val="22"/>
        </w:rPr>
        <w:t>Research Scientist, Chesapeake Institute of Public Health</w:t>
      </w:r>
    </w:p>
    <w:p>
      <w:pPr>
        <w:spacing w:before="40" w:after="120"/>
      </w:pPr>
      <w:r>
        <w:rPr>
          <w:rFonts w:ascii="Times New Roman" w:hAnsi="Times New Roman"/>
          <w:b w:val="0"/>
          <w:sz w:val="22"/>
        </w:rPr>
        <w:t>gerald.roman@gmail.com | (410) 555-2819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