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Spring Garden Plan</w:t>
      </w:r>
    </w:p>
    <w:p>
      <w:r>
        <w:rPr>
          <w:sz w:val="24"/>
        </w:rPr>
        <w:t>Notes for the coming season, drawn up at the kitchen table in February, to be transferred to the graph-paper notebook once decided. The garden is a quarter acre, edited for nearly forty years, and the rule has not changed: move what is unhappy, divide what is crowded, and resist the urge to add a third of anything.</w:t>
      </w:r>
    </w:p>
    <w:p>
      <w:r>
        <w:rPr>
          <w:b/>
          <w:sz w:val="26"/>
        </w:rPr>
        <w:t>North shade border</w:t>
      </w:r>
    </w:p>
    <w:p>
      <w:r>
        <w:rPr>
          <w:sz w:val="24"/>
        </w:rPr>
        <w:t>The hostas are the spine here. June continues to be the favorite, those chartreuse hearts with the blue margins, and it has bulked up enough to lift and divide six crowns for the fall swap. Patriot and Blue Angel stay where they are. Move the three Guacamole one foot east, away from the maple roots that are stealing their water. Add the new Heuchera Caramel at the front edge for warm contrast against all that green.</w:t>
      </w:r>
    </w:p>
    <w:p>
      <w:r>
        <w:rPr>
          <w:b/>
          <w:sz w:val="26"/>
        </w:rPr>
        <w:t>Front sunny border</w:t>
      </w:r>
    </w:p>
    <w:p>
      <w:r>
        <w:rPr>
          <w:sz w:val="24"/>
        </w:rPr>
        <w:t>Echinacea Magnus and White Swan are thriving. Leave the seedheads through winter for the finches, then cut back hard in spring. Goldsturm rudbeckia has naturalized into a colony and needs dividing again, which is a good problem. The Green Envy coneflower has been variable and gets one more year to prove itself before it is moved or composted.</w:t>
      </w:r>
    </w:p>
    <w:p>
      <w:r>
        <w:rPr>
          <w:b/>
          <w:sz w:val="26"/>
        </w:rPr>
        <w:t>Stone path and shade garden</w:t>
      </w:r>
    </w:p>
    <w:p>
      <w:r>
        <w:rPr>
          <w:sz w:val="24"/>
        </w:rPr>
        <w:t>The native lady ferns are spreading nicely along the path I laid out years ago. Brunnera Jack Frost lights up the dim corner. Add two hellebores, the Ivory Prince from the garden center, near the bench where they will be seen in late winter when nothing else is happening.</w:t>
      </w:r>
    </w:p>
    <w:p>
      <w:r>
        <w:rPr>
          <w:b/>
          <w:sz w:val="26"/>
        </w:rPr>
        <w:t>Greenhouse and starts</w:t>
      </w:r>
    </w:p>
    <w:p>
      <w:r>
        <w:rPr>
          <w:sz w:val="24"/>
        </w:rPr>
        <w:t>Snapdragons and foxglove started in January under lights. Lettuce, calendula, and peppers in February on the heat mat. Tomatoes for Harriet in March, though the tomato question remains, as ever, hers to decide and mine to advise.</w:t>
      </w:r>
    </w:p>
    <w:p>
      <w:r>
        <w:rPr>
          <w:b/>
          <w:sz w:val="26"/>
        </w:rPr>
        <w:t>Standing rules</w:t>
      </w:r>
    </w:p>
    <w:p>
      <w:r>
        <w:rPr>
          <w:sz w:val="24"/>
        </w:rPr>
        <w:t>Right plant, right place. Water new divisions through their first dry spell. Sharpen the Felco in autumn. And write it all down, because the garden remembers what I forget.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2026-02-12T14:23:00Z</dcterms:created>
  <dcterms:modified xsi:type="dcterms:W3CDTF">2026-02-12T14:23:00Z</dcterms:modified>
  <cp:category/>
</cp:coreProperties>
</file>