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 Floor Studio Business Plan</w:t>
      </w:r>
    </w:p>
    <w:p>
      <w:r>
        <w:rPr>
          <w:b/>
          <w:sz w:val="24"/>
        </w:rPr>
        <w:t>Executive Summary (working draft)</w:t>
      </w:r>
    </w:p>
    <w:p>
      <w:r>
        <w:t>Prepared by: Michelle Kemp</w:t>
      </w:r>
    </w:p>
    <w:p>
      <w:r>
        <w:t>Draft date: November 9, 2026</w:t>
      </w:r>
    </w:p>
    <w:p>
      <w:r>
        <w:t>Status: Pre-lease. Eighteen-plus months of planning. No lease signed.</w:t>
      </w:r>
    </w:p>
    <w:p>
      <w:r>
        <w:rPr>
          <w:b/>
          <w:sz w:val="26"/>
        </w:rPr>
        <w:t>The idea</w:t>
      </w:r>
    </w:p>
    <w:p>
      <w:r>
        <w:t>Open Floor Studio is a community dance-fitness studio in Hartford built on one principle: the work is showing up, and the room should make showing up easy. Adult and teen classes across levels, low-pressure beginner nights, an advanced performance team, and seasonal showcases. The studio extends twelve years of teaching at Hartford Dance Collective into a space of its own.</w:t>
      </w:r>
    </w:p>
    <w:p>
      <w:r>
        <w:rPr>
          <w:b/>
          <w:sz w:val="26"/>
        </w:rPr>
        <w:t>Market</w:t>
      </w:r>
    </w:p>
    <w:p>
      <w:r>
        <w:t>Hartford's Parkville and Frog Hollow neighborhoods have a steady appetite for affordable, welcoming movement classes and limited dedicated studio space. Existing students from the current roster form a launch base; the public Instagram following (about 2,100) and an established newsletter list seed early enrollment.</w:t>
      </w:r>
    </w:p>
    <w:p>
      <w:r>
        <w:rPr>
          <w:b/>
          <w:sz w:val="26"/>
        </w:rPr>
        <w:t>Offering</w:t>
      </w:r>
    </w:p>
    <w:p>
      <w:pPr>
        <w:pStyle w:val="ListBullet"/>
      </w:pPr>
      <w:r>
        <w:t>Beginner, intermediate, and advanced dance-fitness classes (weeknights and Saturday mornings)</w:t>
      </w:r>
    </w:p>
    <w:p>
      <w:pPr>
        <w:pStyle w:val="ListBullet"/>
      </w:pPr>
      <w:r>
        <w:t>Private and small-group lessons booked through an online scheduler</w:t>
      </w:r>
    </w:p>
    <w:p>
      <w:pPr>
        <w:pStyle w:val="ListBullet"/>
      </w:pPr>
      <w:r>
        <w:t>Seasonal showcases with ticketed admission</w:t>
      </w:r>
    </w:p>
    <w:p>
      <w:pPr>
        <w:pStyle w:val="ListBullet"/>
      </w:pPr>
      <w:r>
        <w:t>Winter and summer intensives</w:t>
      </w:r>
    </w:p>
    <w:p>
      <w:pPr>
        <w:pStyle w:val="ListBullet"/>
      </w:pPr>
      <w:r>
        <w:t>Drop-in passes and multi-class packs</w:t>
      </w:r>
    </w:p>
    <w:p>
      <w:r>
        <w:rPr>
          <w:b/>
          <w:sz w:val="26"/>
        </w:rPr>
        <w:t>Financial snapshot</w:t>
      </w:r>
    </w:p>
    <w:p>
      <w:r>
        <w:t>Estimated first-year startup cost: roughly $18,000 (build-out, floor, mirrors, sound, insurance, licensing, first months of rent). Dedicated studio dream fund held separately at a credit union and growing monthly. Detailed startup and projection workbooks accompany this summary. The launch decision is gated on a signed lease at the right rent and a fund balance that covers build-out plus a three-month operating cushion.</w:t>
      </w:r>
    </w:p>
    <w:p>
      <w:r>
        <w:rPr>
          <w:b/>
          <w:sz w:val="26"/>
        </w:rPr>
        <w:t>Next steps</w:t>
      </w:r>
    </w:p>
    <w:p>
      <w:pPr>
        <w:pStyle w:val="ListBullet"/>
      </w:pPr>
      <w:r>
        <w:t>Re-walk the Parkville space and pull updated lease comps</w:t>
      </w:r>
    </w:p>
    <w:p>
      <w:pPr>
        <w:pStyle w:val="ListBullet"/>
      </w:pPr>
      <w:r>
        <w:t>Finalize the studio name and reserve the matching domain</w:t>
      </w:r>
    </w:p>
    <w:p>
      <w:pPr>
        <w:pStyle w:val="ListBullet"/>
      </w:pPr>
      <w:r>
        <w:t>Move the shadow books from comparison (QuickBooks versus Xero) to one platform</w:t>
      </w:r>
    </w:p>
    <w:p>
      <w:pPr>
        <w:pStyle w:val="ListBullet"/>
      </w:pPr>
      <w:r>
        <w:t>Target a launch-readiness review at the January 2027 new-year planning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