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Clinical Supervisor Certification Comparison Memo</w:t>
      </w:r>
    </w:p>
    <w:p>
      <w:r>
        <w:t>To: Self (career file)</w:t>
      </w:r>
    </w:p>
    <w:p>
      <w:r>
        <w:t>Date: December 2, 2026</w:t>
      </w:r>
    </w:p>
    <w:p>
      <w:r>
        <w:t>Question: Is the clinical supervisor certification worth pursuing next year, and through which program?</w:t>
      </w:r>
    </w:p>
    <w:p>
      <w:r>
        <w:rPr>
          <w:b/>
          <w:sz w:val="26"/>
        </w:rPr>
        <w:t>Why consider it</w:t>
      </w:r>
    </w:p>
    <w:p>
      <w:r>
        <w:t>The certification would mean a pay raise, a reduced direct caseload, and a path toward less front-line casework after fourteen years. It also fits the studio timeline; steadier hours would make the launch easier to carry.</w:t>
      </w:r>
    </w:p>
    <w:p>
      <w:r>
        <w:rPr>
          <w:b/>
          <w:sz w:val="26"/>
        </w:rPr>
        <w:t>Programs compared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Factor</w:t>
            </w:r>
          </w:p>
        </w:tc>
        <w:tc>
          <w:tcPr>
            <w:tcW w:type="dxa" w:w="2160"/>
          </w:tcPr>
          <w:p>
            <w:r>
              <w:t>Baystate program</w:t>
            </w:r>
          </w:p>
        </w:tc>
        <w:tc>
          <w:tcPr>
            <w:tcW w:type="dxa" w:w="2160"/>
          </w:tcPr>
          <w:p>
            <w:r>
              <w:t>Silver Creek program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Hybrid, evenings</w:t>
            </w:r>
          </w:p>
        </w:tc>
        <w:tc>
          <w:tcPr>
            <w:tcW w:type="dxa" w:w="2160"/>
          </w:tcPr>
          <w:p>
            <w:r>
              <w:t>Mostly online</w:t>
            </w:r>
          </w:p>
        </w:tc>
        <w:tc>
          <w:tcPr>
            <w:tcW w:type="dxa" w:w="2160"/>
          </w:tcPr>
          <w:p>
            <w:r>
              <w:t>Silver Creek easier around class nights</w:t>
            </w:r>
          </w:p>
        </w:tc>
      </w:tr>
      <w:tr>
        <w:tc>
          <w:tcPr>
            <w:tcW w:type="dxa" w:w="2160"/>
          </w:tcPr>
          <w:p>
            <w:r>
              <w:t>Length</w:t>
            </w:r>
          </w:p>
        </w:tc>
        <w:tc>
          <w:tcPr>
            <w:tcW w:type="dxa" w:w="2160"/>
          </w:tcPr>
          <w:p>
            <w:r>
              <w:t>2 semesters</w:t>
            </w:r>
          </w:p>
        </w:tc>
        <w:tc>
          <w:tcPr>
            <w:tcW w:type="dxa" w:w="2160"/>
          </w:tcPr>
          <w:p>
            <w:r>
              <w:t>2 semesters</w:t>
            </w:r>
          </w:p>
        </w:tc>
        <w:tc>
          <w:tcPr>
            <w:tcW w:type="dxa" w:w="2160"/>
          </w:tcPr>
          <w:p>
            <w:r>
              <w:t>Comparable</w:t>
            </w:r>
          </w:p>
        </w:tc>
      </w:tr>
      <w:tr>
        <w:tc>
          <w:tcPr>
            <w:tcW w:type="dxa" w:w="2160"/>
          </w:tcPr>
          <w:p>
            <w:r>
              <w:t>Cost band</w:t>
            </w:r>
          </w:p>
        </w:tc>
        <w:tc>
          <w:tcPr>
            <w:tcW w:type="dxa" w:w="2160"/>
          </w:tcPr>
          <w:p>
            <w:r>
              <w:t>Higher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Confirm employer tuition support via BambooHR</w:t>
            </w:r>
          </w:p>
        </w:tc>
      </w:tr>
      <w:tr>
        <w:tc>
          <w:tcPr>
            <w:tcW w:type="dxa" w:w="2160"/>
          </w:tcPr>
          <w:p>
            <w:r>
              <w:t>Alumni network</w:t>
            </w:r>
          </w:p>
        </w:tc>
        <w:tc>
          <w:tcPr>
            <w:tcW w:type="dxa" w:w="2160"/>
          </w:tcPr>
          <w:p>
            <w:r>
              <w:t>Stronger local</w:t>
            </w:r>
          </w:p>
        </w:tc>
        <w:tc>
          <w:tcPr>
            <w:tcW w:type="dxa" w:w="2160"/>
          </w:tcPr>
          <w:p>
            <w:r>
              <w:t>Statewide</w:t>
            </w:r>
          </w:p>
        </w:tc>
        <w:tc>
          <w:tcPr>
            <w:tcW w:type="dxa" w:w="2160"/>
          </w:tcPr>
          <w:p>
            <w:r>
              <w:t>Baystate has more Hartford supervisors</w:t>
            </w:r>
          </w:p>
        </w:tc>
      </w:tr>
      <w:tr>
        <w:tc>
          <w:tcPr>
            <w:tcW w:type="dxa" w:w="2160"/>
          </w:tcPr>
          <w:p>
            <w:r>
              <w:t>Fit with my schedule</w:t>
            </w:r>
          </w:p>
        </w:tc>
        <w:tc>
          <w:tcPr>
            <w:tcW w:type="dxa" w:w="2160"/>
          </w:tcPr>
          <w:p>
            <w:r>
              <w:t>Tighter</w:t>
            </w:r>
          </w:p>
        </w:tc>
        <w:tc>
          <w:tcPr>
            <w:tcW w:type="dxa" w:w="2160"/>
          </w:tcPr>
          <w:p>
            <w:r>
              <w:t>Better</w:t>
            </w:r>
          </w:p>
        </w:tc>
        <w:tc>
          <w:tcPr>
            <w:tcW w:type="dxa" w:w="2160"/>
          </w:tcPr>
          <w:p>
            <w:r>
              <w:t>Tue/Thu dance nights are fixed</w:t>
            </w:r>
          </w:p>
        </w:tc>
      </w:tr>
    </w:tbl>
    <w:p/>
    <w:p>
      <w:r>
        <w:rPr>
          <w:b/>
          <w:sz w:val="26"/>
        </w:rPr>
        <w:t>Leaning</w:t>
      </w:r>
    </w:p>
    <w:p>
      <w:r>
        <w:t>Silver Creek for the online flexibility, pending confirmation of tuition support. Decision to make alongside the studio timeline; I am not adding a certification and a lease in the same quarter. Revisit at the January planning push.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