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Harrington Arts Academy</w:t>
      </w:r>
    </w:p>
    <w:p>
      <w:pPr>
        <w:spacing w:after="40"/>
      </w:pPr>
      <w:r>
        <w:rPr>
          <w:b/>
          <w:i w:val="0"/>
          <w:sz w:val="22"/>
        </w:rPr>
        <w:t>Foundations Department</w:t>
      </w:r>
    </w:p>
    <w:p>
      <w:pPr>
        <w:spacing w:after="40"/>
      </w:pPr>
      <w:r>
        <w:rPr>
          <w:b/>
          <w:i w:val="0"/>
          <w:sz w:val="24"/>
        </w:rPr>
        <w:t>FND 104: Foundations of Mixed Media, Fall 2025</w:t>
      </w:r>
    </w:p>
    <w:p>
      <w:pPr>
        <w:spacing w:after="120"/>
      </w:pPr>
      <w:r>
        <w:rPr>
          <w:b w:val="0"/>
          <w:i/>
          <w:sz w:val="20"/>
        </w:rPr>
        <w:t>Tuesday and Thursday, 10:00 a.m. to 1:00 p.m., Studio Building, Room 212</w:t>
      </w:r>
    </w:p>
    <w:p>
      <w:pPr>
        <w:spacing w:after="240"/>
      </w:pPr>
      <w:r>
        <w:rPr>
          <w:b w:val="0"/>
          <w:i w:val="0"/>
          <w:sz w:val="20"/>
        </w:rPr>
        <w:t>Instructor: Nancy Crawford  |  Email: ncrawford@harringtonartsacademy.edu  |  Office hours: Thursday after class, by arrangement</w:t>
      </w:r>
    </w:p>
    <w:p>
      <w:r>
        <w:rPr>
          <w:b/>
          <w:sz w:val="26"/>
        </w:rPr>
        <w:t>Course Description</w:t>
      </w:r>
    </w:p>
    <w:p>
      <w:pPr>
        <w:spacing w:after="120"/>
      </w:pPr>
      <w:r>
        <w:rPr>
          <w:b w:val="0"/>
          <w:i w:val="0"/>
          <w:sz w:val="22"/>
        </w:rPr>
        <w:t>This studio course introduces the materials and thinking of mixed-media practice: printmaking, collage, and the use of found materials. Students build a working vocabulary through weekly studio assignments, group critique, and short readings. The emphasis is on attention, process, and the honest handling of materials rather than on finished spectacle.</w:t>
      </w:r>
    </w:p>
    <w:p>
      <w:r>
        <w:rPr>
          <w:b/>
          <w:sz w:val="26"/>
        </w:rPr>
        <w:t>Learning Outcomes</w:t>
      </w:r>
    </w:p>
    <w:p>
      <w:pPr>
        <w:pStyle w:val="ListBullet"/>
        <w:spacing w:after="60"/>
      </w:pPr>
      <w:r>
        <w:t>Build and pull a basic monotype and relief print.</w:t>
      </w:r>
    </w:p>
    <w:p>
      <w:pPr>
        <w:pStyle w:val="ListBullet"/>
        <w:spacing w:after="60"/>
      </w:pPr>
      <w:r>
        <w:t>Compose with collage and found materials toward a considered surface.</w:t>
      </w:r>
    </w:p>
    <w:p>
      <w:pPr>
        <w:pStyle w:val="ListBullet"/>
        <w:spacing w:after="60"/>
      </w:pPr>
      <w:r>
        <w:t>Speak clearly and generously in critique about your work and others'.</w:t>
      </w:r>
    </w:p>
    <w:p>
      <w:pPr>
        <w:pStyle w:val="ListBullet"/>
        <w:spacing w:after="60"/>
      </w:pPr>
      <w:r>
        <w:t>Keep a process journal that records decisions, not just results.</w:t>
      </w:r>
    </w:p>
    <w:p>
      <w:r>
        <w:rPr>
          <w:b/>
          <w:sz w:val="26"/>
        </w:rPr>
        <w:t>Materials</w:t>
      </w:r>
    </w:p>
    <w:p>
      <w:pPr>
        <w:spacing w:after="120"/>
      </w:pPr>
      <w:r>
        <w:rPr>
          <w:b w:val="0"/>
          <w:i w:val="0"/>
          <w:sz w:val="22"/>
        </w:rPr>
        <w:t>A basic kit is available through Blick Art Materials. Bring a sketchbook, neutral pH adhesive, a brayer, and an apron. Found materials are gathered through the term. Studio presses and inks are provided.</w:t>
      </w:r>
    </w:p>
    <w:p>
      <w:r>
        <w:rPr>
          <w:b/>
          <w:sz w:val="26"/>
        </w:rPr>
        <w:t>Schedule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Weeks</w:t>
            </w:r>
          </w:p>
        </w:tc>
        <w:tc>
          <w:tcPr>
            <w:tcW w:type="dxa" w:w="3216"/>
          </w:tcPr>
          <w:p>
            <w:r>
              <w:t>Focus</w:t>
            </w:r>
          </w:p>
        </w:tc>
        <w:tc>
          <w:tcPr>
            <w:tcW w:type="dxa" w:w="3216"/>
          </w:tcPr>
          <w:p>
            <w:r>
              <w:t>Due</w:t>
            </w:r>
          </w:p>
        </w:tc>
      </w:tr>
      <w:tr>
        <w:tc>
          <w:tcPr>
            <w:tcW w:type="dxa" w:w="3216"/>
          </w:tcPr>
          <w:p>
            <w:r>
              <w:t>1 to 3</w:t>
            </w:r>
          </w:p>
        </w:tc>
        <w:tc>
          <w:tcPr>
            <w:tcW w:type="dxa" w:w="3216"/>
          </w:tcPr>
          <w:p>
            <w:r>
              <w:t>Mark, surface, and the process journal</w:t>
            </w:r>
          </w:p>
        </w:tc>
        <w:tc>
          <w:tcPr>
            <w:tcW w:type="dxa" w:w="3216"/>
          </w:tcPr>
          <w:p>
            <w:r>
              <w:t>Journal check, week 3</w:t>
            </w:r>
          </w:p>
        </w:tc>
      </w:tr>
      <w:tr>
        <w:tc>
          <w:tcPr>
            <w:tcW w:type="dxa" w:w="3216"/>
          </w:tcPr>
          <w:p>
            <w:r>
              <w:t>4 to 6</w:t>
            </w:r>
          </w:p>
        </w:tc>
        <w:tc>
          <w:tcPr>
            <w:tcW w:type="dxa" w:w="3216"/>
          </w:tcPr>
          <w:p>
            <w:r>
              <w:t>Monotype and relief printmaking</w:t>
            </w:r>
          </w:p>
        </w:tc>
        <w:tc>
          <w:tcPr>
            <w:tcW w:type="dxa" w:w="3216"/>
          </w:tcPr>
          <w:p>
            <w:r>
              <w:t>Print set, week 6</w:t>
            </w:r>
          </w:p>
        </w:tc>
      </w:tr>
      <w:tr>
        <w:tc>
          <w:tcPr>
            <w:tcW w:type="dxa" w:w="3216"/>
          </w:tcPr>
          <w:p>
            <w:r>
              <w:t>7 to 9</w:t>
            </w:r>
          </w:p>
        </w:tc>
        <w:tc>
          <w:tcPr>
            <w:tcW w:type="dxa" w:w="3216"/>
          </w:tcPr>
          <w:p>
            <w:r>
              <w:t>Collage and composition</w:t>
            </w:r>
          </w:p>
        </w:tc>
        <w:tc>
          <w:tcPr>
            <w:tcW w:type="dxa" w:w="3216"/>
          </w:tcPr>
          <w:p>
            <w:r>
              <w:t>Collage study, week 9</w:t>
            </w:r>
          </w:p>
        </w:tc>
      </w:tr>
      <w:tr>
        <w:tc>
          <w:tcPr>
            <w:tcW w:type="dxa" w:w="3216"/>
          </w:tcPr>
          <w:p>
            <w:r>
              <w:t>10 to 12</w:t>
            </w:r>
          </w:p>
        </w:tc>
        <w:tc>
          <w:tcPr>
            <w:tcW w:type="dxa" w:w="3216"/>
          </w:tcPr>
          <w:p>
            <w:r>
              <w:t>Found materials and assemblage</w:t>
            </w:r>
          </w:p>
        </w:tc>
        <w:tc>
          <w:tcPr>
            <w:tcW w:type="dxa" w:w="3216"/>
          </w:tcPr>
          <w:p>
            <w:r>
              <w:t>Assemblage, week 12</w:t>
            </w:r>
          </w:p>
        </w:tc>
      </w:tr>
      <w:tr>
        <w:tc>
          <w:tcPr>
            <w:tcW w:type="dxa" w:w="3216"/>
          </w:tcPr>
          <w:p>
            <w:r>
              <w:t>13 to 14</w:t>
            </w:r>
          </w:p>
        </w:tc>
        <w:tc>
          <w:tcPr>
            <w:tcW w:type="dxa" w:w="3216"/>
          </w:tcPr>
          <w:p>
            <w:r>
              <w:t>Final portfolio and critique</w:t>
            </w:r>
          </w:p>
        </w:tc>
        <w:tc>
          <w:tcPr>
            <w:tcW w:type="dxa" w:w="3216"/>
          </w:tcPr>
          <w:p>
            <w:r>
              <w:t>Portfolio, December 11</w:t>
            </w:r>
          </w:p>
        </w:tc>
      </w:tr>
    </w:tbl>
    <w:p>
      <w:r>
        <w:rPr>
          <w:b/>
          <w:sz w:val="26"/>
        </w:rPr>
        <w:t>Grading</w:t>
      </w:r>
    </w:p>
    <w:p>
      <w:pPr>
        <w:spacing w:after="120"/>
      </w:pPr>
      <w:r>
        <w:rPr>
          <w:b w:val="0"/>
          <w:i w:val="0"/>
          <w:sz w:val="22"/>
        </w:rPr>
        <w:t>Studio work and growth 50%, participation and critique 25%, process journal 15%, final portfolio 10%. Grades are due to the registrar by December 16, 2025. Attendance matters in a studio; more than three absences affects the participation grade.</w:t>
      </w:r>
    </w:p>
    <w:p>
      <w:pPr>
        <w:spacing w:after="120"/>
      </w:pPr>
      <w:r>
        <w:rPr>
          <w:b w:val="0"/>
          <w:i/>
          <w:sz w:val="22"/>
        </w:rPr>
        <w:t>Plain language, steady work, and respect for the room are expected. Ask questions early. The studio is a place to try things and to fail usefully.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