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Found Light</w:t>
      </w:r>
    </w:p>
    <w:p>
      <w:pPr>
        <w:spacing w:after="240"/>
      </w:pPr>
      <w:r>
        <w:rPr>
          <w:b w:val="0"/>
          <w:i/>
          <w:sz w:val="20"/>
        </w:rPr>
        <w:t>Nancy Crawford  |  Ironwork Gallery, Philadelphia  |  Opening November 6, 2026</w:t>
      </w:r>
    </w:p>
    <w:p>
      <w:pPr>
        <w:spacing w:after="120"/>
      </w:pPr>
      <w:r>
        <w:rPr>
          <w:b/>
          <w:i w:val="0"/>
          <w:sz w:val="24"/>
        </w:rPr>
        <w:t>Artist Statement</w:t>
      </w:r>
    </w:p>
    <w:p>
      <w:pPr>
        <w:spacing w:after="120"/>
      </w:pPr>
      <w:r>
        <w:rPr>
          <w:b w:val="0"/>
          <w:i w:val="0"/>
          <w:sz w:val="22"/>
        </w:rPr>
        <w:t>The work in Found Light begins on the ground. I walk the Delaware riverfront most mornings, and I pick things up: a torn ticket, a strip of rusted tin, a page softened by weather. These are not precious. They are what the city leaves behind, and they carry a record of light and time that I could not invent.</w:t>
      </w:r>
    </w:p>
    <w:p>
      <w:pPr>
        <w:spacing w:after="120"/>
      </w:pPr>
      <w:r>
        <w:rPr>
          <w:b w:val="0"/>
          <w:i w:val="0"/>
          <w:sz w:val="22"/>
        </w:rPr>
        <w:t>In the studio I print, layer, and assemble. Monotype gives me a single breath of ink. Collage lets me hold two unrelated surfaces in one frame until they agree to be looked at together. The found material keeps me honest. It refuses to be too clean.</w:t>
      </w:r>
    </w:p>
    <w:p>
      <w:pPr>
        <w:spacing w:after="120"/>
      </w:pPr>
      <w:r>
        <w:rPr>
          <w:b w:val="0"/>
          <w:i w:val="0"/>
          <w:sz w:val="22"/>
        </w:rPr>
        <w:t>This is the first body of work I have made entirely in Fishtown since the neighbourhood changed around me, and the pieces are quieter than my earlier prints. They are about attention more than statement. I am fifty-nine and less interested in the loud gesture than I used to be. What stays is the surface, the trace, and the light that found it first.</w:t>
      </w:r>
    </w:p>
    <w:p>
      <w:pPr>
        <w:spacing w:after="120"/>
      </w:pPr>
      <w:r>
        <w:rPr>
          <w:b w:val="0"/>
          <w:i/>
          <w:sz w:val="22"/>
        </w:rPr>
        <w:t>The twelve to fifteen works here were made over the past two years, alongside a triptych commission and the rhythm of teaching. They belong together. I hope they reward a slow look.</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