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 Benchmarking Project Plan</w:t>
      </w:r>
    </w:p>
    <w:p>
      <w:r>
        <w:t>Owner: Andrea Kaminski, Marketing Analyst. Client deliverable for mid market B2B accounts. Hard deadline November 20, 2026. This plan covers scope, method, milestones, risks, and the shape of the final deliverable.</w:t>
      </w:r>
    </w:p>
    <w:p>
      <w:pPr>
        <w:pStyle w:val="Heading1"/>
      </w:pPr>
      <w:r>
        <w:t>Objective</w:t>
      </w:r>
    </w:p>
    <w:p>
      <w:r>
        <w:t>Benchmark four mid market B2B client accounts against category norms for the quarter and translate the numbers into three or four decisions each client can act on before the new year. The deliverable is a dashboard plus a written read, not a data dump.</w:t>
      </w:r>
    </w:p>
    <w:p>
      <w:pPr>
        <w:pStyle w:val="Heading1"/>
      </w:pPr>
      <w:r>
        <w:t>Scope</w:t>
      </w:r>
    </w:p>
    <w:p>
      <w:pPr>
        <w:pStyle w:val="ListBullet"/>
      </w:pPr>
      <w:r>
        <w:t>Four accounts: Account A (paid search), Account B (display), Account C (email), Account D (paid social).</w:t>
      </w:r>
    </w:p>
    <w:p>
      <w:pPr>
        <w:pStyle w:val="ListBullet"/>
      </w:pPr>
      <w:r>
        <w:t>Metrics: impressions, clicks, click through rate, conversions, and cost per lead.</w:t>
      </w:r>
    </w:p>
    <w:p>
      <w:pPr>
        <w:pStyle w:val="ListBullet"/>
      </w:pPr>
      <w:r>
        <w:t>Comparison set: prior quarter, category median, and internal target.</w:t>
      </w:r>
    </w:p>
    <w:p>
      <w:pPr>
        <w:pStyle w:val="ListBullet"/>
      </w:pPr>
      <w:r>
        <w:t>Out of scope: creative testing recommendations and budget reallocation modeling, both flagged for a follow on.</w:t>
      </w:r>
    </w:p>
    <w:p>
      <w:pPr>
        <w:pStyle w:val="Heading1"/>
      </w:pPr>
      <w:r>
        <w:t>Method</w:t>
      </w:r>
    </w:p>
    <w:p>
      <w:pPr>
        <w:pStyle w:val="ListNumber"/>
      </w:pPr>
      <w:r>
        <w:t>Pull raw campaign data and QA for tracking gaps and duplicate conversions.</w:t>
      </w:r>
    </w:p>
    <w:p>
      <w:pPr>
        <w:pStyle w:val="ListNumber"/>
      </w:pPr>
      <w:r>
        <w:t>Normalize each account to a common metric frame so accounts are comparable.</w:t>
      </w:r>
    </w:p>
    <w:p>
      <w:pPr>
        <w:pStyle w:val="ListNumber"/>
      </w:pPr>
      <w:r>
        <w:t>Compute deltas against the three comparison points and flag anything outside a 20 percent band.</w:t>
      </w:r>
    </w:p>
    <w:p>
      <w:pPr>
        <w:pStyle w:val="ListNumber"/>
      </w:pPr>
      <w:r>
        <w:t>Draft the dashboard, then write the read that names the decision behind each chart.</w:t>
      </w:r>
    </w:p>
    <w:p>
      <w:pPr>
        <w:pStyle w:val="ListNumber"/>
      </w:pPr>
      <w:r>
        <w:t>Internal review with Tom, revise, then package for the client.</w:t>
      </w:r>
    </w:p>
    <w:p>
      <w:pPr>
        <w:pStyle w:val="Heading1"/>
      </w:pPr>
      <w:r>
        <w:t>Milestones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Milestone</w:t>
            </w:r>
          </w:p>
        </w:tc>
        <w:tc>
          <w:tcPr>
            <w:tcW w:type="dxa" w:w="4320"/>
          </w:tcPr>
          <w:p>
            <w:r/>
            <w:r>
              <w:rPr>
                <w:b/>
              </w:rPr>
              <w:t>Target</w:t>
            </w:r>
          </w:p>
        </w:tc>
      </w:tr>
      <w:tr>
        <w:tc>
          <w:tcPr>
            <w:tcW w:type="dxa" w:w="4320"/>
          </w:tcPr>
          <w:p>
            <w:r>
              <w:t>Data pull and QA</w:t>
            </w:r>
          </w:p>
        </w:tc>
        <w:tc>
          <w:tcPr>
            <w:tcW w:type="dxa" w:w="4320"/>
          </w:tcPr>
          <w:p>
            <w:r>
              <w:t>Scoped February 2026, refreshed for Q4</w:t>
            </w:r>
          </w:p>
        </w:tc>
      </w:tr>
      <w:tr>
        <w:tc>
          <w:tcPr>
            <w:tcW w:type="dxa" w:w="4320"/>
          </w:tcPr>
          <w:p>
            <w:r>
              <w:t>Draft dashboards and benchmarks</w:t>
            </w:r>
          </w:p>
        </w:tc>
        <w:tc>
          <w:tcPr>
            <w:tcW w:type="dxa" w:w="4320"/>
          </w:tcPr>
          <w:p>
            <w:r>
              <w:t>October 2026</w:t>
            </w:r>
          </w:p>
        </w:tc>
      </w:tr>
      <w:tr>
        <w:tc>
          <w:tcPr>
            <w:tcW w:type="dxa" w:w="4320"/>
          </w:tcPr>
          <w:p>
            <w:r>
              <w:t>Internal review with Tom</w:t>
            </w:r>
          </w:p>
        </w:tc>
        <w:tc>
          <w:tcPr>
            <w:tcW w:type="dxa" w:w="4320"/>
          </w:tcPr>
          <w:p>
            <w:r>
              <w:t>November 10, 2026 (one on one)</w:t>
            </w:r>
          </w:p>
        </w:tc>
      </w:tr>
      <w:tr>
        <w:tc>
          <w:tcPr>
            <w:tcW w:type="dxa" w:w="4320"/>
          </w:tcPr>
          <w:p>
            <w:r>
              <w:t>Client deliverable due</w:t>
            </w:r>
          </w:p>
        </w:tc>
        <w:tc>
          <w:tcPr>
            <w:tcW w:type="dxa" w:w="4320"/>
          </w:tcPr>
          <w:p>
            <w:r>
              <w:t>November 20, 2026</w:t>
            </w:r>
          </w:p>
        </w:tc>
      </w:tr>
    </w:tbl>
    <w:p/>
    <w:p>
      <w:pPr>
        <w:pStyle w:val="Heading1"/>
      </w:pPr>
      <w:r>
        <w:t>Preliminary read</w:t>
      </w:r>
    </w:p>
    <w:p>
      <w:r>
        <w:t>Account C (email) is the standout at an 8.0 percent click through rate and a $19.90 cost per lead, well under the other channels. Account B (display) is the drag at 0.8 percent and $72.40 per lead. The likely story for the client is to shift spend toward the email program and put display on a shorter leash.</w:t>
      </w:r>
    </w:p>
    <w:p>
      <w:pPr>
        <w:pStyle w:val="Heading1"/>
      </w:pPr>
      <w:r>
        <w:t>Risks</w:t>
      </w:r>
    </w:p>
    <w:p>
      <w:pPr>
        <w:pStyle w:val="ListBullet"/>
      </w:pPr>
      <w:r>
        <w:t>Priya bandwidth for the rerun step during the November crunch. Mitigation: scope her piece early.</w:t>
      </w:r>
    </w:p>
    <w:p>
      <w:pPr>
        <w:pStyle w:val="ListBullet"/>
      </w:pPr>
      <w:r>
        <w:t>Late data from two accounts. Mitigation: set a hard data freeze one week before the internal review.</w:t>
      </w:r>
    </w:p>
    <w:p>
      <w:pPr>
        <w:pStyle w:val="ListBullet"/>
      </w:pPr>
      <w:r>
        <w:t>Scope creep into budget modeling. Mitigation: hold that as a named follow on, not part of this deliverable.</w:t>
      </w:r>
    </w:p>
    <w:p>
      <w:pPr>
        <w:pStyle w:val="Heading1"/>
      </w:pPr>
      <w:r>
        <w:t>Stakeholders</w:t>
      </w:r>
    </w:p>
    <w:p>
      <w:r>
        <w:t>Internal: Tom Hadley (review and sign off), Priya Chatterjee (data rerun and QA support), Marcus Webb (client relationship and delivery). Client: account marketing leads for the four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