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7A2E22"/>
          <w:sz w:val="32"/>
        </w:rPr>
        <w:t>Grace Community Church Deacon Board Procedures</w:t>
      </w:r>
    </w:p>
    <w:p>
      <w:r>
        <w:t>This document sets out the working procedures of the deacon board at Grace Community Church, with particular attention to funeral support, benevolence, and meeting conduct. It is written for the board's internal use. Meeting minutes are filed separately, see document P05, and the church bulletin export is V04.</w:t>
      </w:r>
    </w:p>
    <w:p>
      <w:r>
        <w:rPr>
          <w:b/>
          <w:color w:val="7A2E22"/>
          <w:sz w:val="24"/>
        </w:rPr>
        <w:t>1. The board's purpose</w:t>
      </w:r>
    </w:p>
    <w:p>
      <w:r>
        <w:t>The deacon board exists to serve the congregation in practical ways: supporting grieving families, coordinating meals for those recovering, handling benevolence with discretion, and keeping the logistics of worship and fellowship running. Service is the practical expression of faith, and the board is where that expression is organized.</w:t>
      </w:r>
    </w:p>
    <w:p>
      <w:r>
        <w:rPr>
          <w:b/>
          <w:color w:val="7A2E22"/>
          <w:sz w:val="24"/>
        </w:rPr>
        <w:t>2. Meeting conduct</w:t>
      </w:r>
    </w:p>
    <w:p>
      <w:pPr>
        <w:pStyle w:val="ListBullet"/>
      </w:pPr>
      <w:r>
        <w:t>The board meets on a biweekly Thursday rotation, beginning at 6:30 PM.</w:t>
      </w:r>
    </w:p>
    <w:p>
      <w:pPr>
        <w:pStyle w:val="ListBullet"/>
      </w:pPr>
      <w:r>
        <w:t>The pastor or a designated deacon chairs. A recording deacon keeps minutes.</w:t>
      </w:r>
    </w:p>
    <w:p>
      <w:pPr>
        <w:pStyle w:val="ListBullet"/>
      </w:pPr>
      <w:r>
        <w:t>The church secretary handles logistics and the sign-in.</w:t>
      </w:r>
    </w:p>
    <w:p>
      <w:pPr>
        <w:pStyle w:val="ListBullet"/>
      </w:pPr>
      <w:r>
        <w:t>Sensitive pastoral matters are held off the record and are not minuted.</w:t>
      </w:r>
    </w:p>
    <w:p>
      <w:pPr>
        <w:pStyle w:val="ListBullet"/>
      </w:pPr>
      <w:r>
        <w:t>Congregant names are not shared outside the board without permission.</w:t>
      </w:r>
    </w:p>
    <w:p>
      <w:r>
        <w:rPr>
          <w:b/>
          <w:color w:val="7A2E22"/>
          <w:sz w:val="24"/>
        </w:rPr>
        <w:t>3. Funeral support</w:t>
      </w:r>
    </w:p>
    <w:p>
      <w:r>
        <w:t>When a congregant passes, the board organizes support for the family without being asked twice. Transportation is provided through the fleet, coordinated quietly and without charge where the family is in need. Hospitality, the procession, and the family liaison are assigned from the standing rotation.</w:t>
      </w:r>
    </w:p>
    <w:p>
      <w:r>
        <w:br w:type="page"/>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Role</w:t>
            </w:r>
          </w:p>
        </w:tc>
        <w:tc>
          <w:tcPr>
            <w:tcW w:type="dxa" w:w="3120"/>
          </w:tcPr>
          <w:p>
            <w:r>
              <w:rPr>
                <w:b/>
                <w:sz w:val="18"/>
              </w:rPr>
              <w:t>Lead</w:t>
            </w:r>
          </w:p>
        </w:tc>
        <w:tc>
          <w:tcPr>
            <w:tcW w:type="dxa" w:w="3120"/>
          </w:tcPr>
          <w:p>
            <w:r>
              <w:rPr>
                <w:b/>
                <w:sz w:val="18"/>
              </w:rPr>
              <w:t>Backup</w:t>
            </w:r>
          </w:p>
        </w:tc>
      </w:tr>
      <w:tr>
        <w:tc>
          <w:tcPr>
            <w:tcW w:type="dxa" w:w="3120"/>
          </w:tcPr>
          <w:p>
            <w:r>
              <w:rPr>
                <w:sz w:val="18"/>
              </w:rPr>
              <w:t>Family liaison</w:t>
            </w:r>
          </w:p>
        </w:tc>
        <w:tc>
          <w:tcPr>
            <w:tcW w:type="dxa" w:w="3120"/>
          </w:tcPr>
          <w:p>
            <w:r>
              <w:rPr>
                <w:sz w:val="18"/>
              </w:rPr>
              <w:t>Ashley Ward</w:t>
            </w:r>
          </w:p>
        </w:tc>
        <w:tc>
          <w:tcPr>
            <w:tcW w:type="dxa" w:w="3120"/>
          </w:tcPr>
          <w:p>
            <w:r>
              <w:rPr>
                <w:sz w:val="18"/>
              </w:rPr>
              <w:t>Linda Charles</w:t>
            </w:r>
          </w:p>
        </w:tc>
      </w:tr>
      <w:tr>
        <w:tc>
          <w:tcPr>
            <w:tcW w:type="dxa" w:w="3120"/>
          </w:tcPr>
          <w:p>
            <w:r>
              <w:rPr>
                <w:sz w:val="18"/>
              </w:rPr>
              <w:t>Procession</w:t>
            </w:r>
          </w:p>
        </w:tc>
        <w:tc>
          <w:tcPr>
            <w:tcW w:type="dxa" w:w="3120"/>
          </w:tcPr>
          <w:p>
            <w:r>
              <w:rPr>
                <w:sz w:val="18"/>
              </w:rPr>
              <w:t>Frank Morrison</w:t>
            </w:r>
          </w:p>
        </w:tc>
        <w:tc>
          <w:tcPr>
            <w:tcW w:type="dxa" w:w="3120"/>
          </w:tcPr>
          <w:p>
            <w:r>
              <w:rPr>
                <w:sz w:val="18"/>
              </w:rPr>
              <w:t>Relief drivers</w:t>
            </w:r>
          </w:p>
        </w:tc>
      </w:tr>
      <w:tr>
        <w:tc>
          <w:tcPr>
            <w:tcW w:type="dxa" w:w="3120"/>
          </w:tcPr>
          <w:p>
            <w:r>
              <w:rPr>
                <w:sz w:val="18"/>
              </w:rPr>
              <w:t>Hospitality</w:t>
            </w:r>
          </w:p>
        </w:tc>
        <w:tc>
          <w:tcPr>
            <w:tcW w:type="dxa" w:w="3120"/>
          </w:tcPr>
          <w:p>
            <w:r>
              <w:rPr>
                <w:sz w:val="18"/>
              </w:rPr>
              <w:t>Linda Charles</w:t>
            </w:r>
          </w:p>
        </w:tc>
        <w:tc>
          <w:tcPr>
            <w:tcW w:type="dxa" w:w="3120"/>
          </w:tcPr>
          <w:p>
            <w:r>
              <w:rPr>
                <w:sz w:val="18"/>
              </w:rPr>
              <w:t>Choir volunteers</w:t>
            </w:r>
          </w:p>
        </w:tc>
      </w:tr>
      <w:tr>
        <w:tc>
          <w:tcPr>
            <w:tcW w:type="dxa" w:w="3120"/>
          </w:tcPr>
          <w:p>
            <w:r>
              <w:rPr>
                <w:sz w:val="18"/>
              </w:rPr>
              <w:t>Transportation</w:t>
            </w:r>
          </w:p>
        </w:tc>
        <w:tc>
          <w:tcPr>
            <w:tcW w:type="dxa" w:w="3120"/>
          </w:tcPr>
          <w:p>
            <w:r>
              <w:rPr>
                <w:sz w:val="18"/>
              </w:rPr>
              <w:t>Ward Taxi vans</w:t>
            </w:r>
          </w:p>
        </w:tc>
        <w:tc>
          <w:tcPr>
            <w:tcW w:type="dxa" w:w="3120"/>
          </w:tcPr>
          <w:p>
            <w:r>
              <w:rPr>
                <w:sz w:val="18"/>
              </w:rPr>
              <w:t>City dispatch overflow</w:t>
            </w:r>
          </w:p>
        </w:tc>
      </w:tr>
    </w:tbl>
    <w:p>
      <w:r>
        <w:rPr>
          <w:b/>
          <w:color w:val="7A2E22"/>
          <w:sz w:val="24"/>
        </w:rPr>
        <w:t>4. Benevolence</w:t>
      </w:r>
    </w:p>
    <w:p>
      <w:r>
        <w:t>The benevolence fund supports congregants in temporary need: utility assistance, meal support, medical travel, and funeral costs where there is hardship. Requests are reviewed by the board and approved without naming recipients in the open minutes. Totals only are recorded, consistent with the privacy the board holds as a matter of practice.</w:t>
      </w:r>
    </w:p>
    <w:p>
      <w:r>
        <w:rPr>
          <w:b/>
          <w:color w:val="7A2E22"/>
          <w:sz w:val="24"/>
        </w:rPr>
        <w:t>5. Meal ministry</w:t>
      </w:r>
    </w:p>
    <w:p>
      <w:r>
        <w:t>A running list of congregants who could use a meal is kept and worked through quietly. Recovery from surgery, a new baby, a loss in the family, any of these puts a name on the list. The meal goes out without fanfare. This is the kind of service that does not get announced from the front of the room.</w:t>
      </w:r>
    </w:p>
    <w:p>
      <w:r>
        <w:rPr>
          <w:b/>
          <w:color w:val="7A2E22"/>
          <w:sz w:val="24"/>
        </w:rPr>
        <w:t>6. The calendar</w:t>
      </w:r>
    </w:p>
    <w:p>
      <w:pPr>
        <w:pStyle w:val="ListBullet"/>
      </w:pPr>
      <w:r>
        <w:t>Wednesday Bible study, service at 7:00 PM.</w:t>
      </w:r>
    </w:p>
    <w:p>
      <w:pPr>
        <w:pStyle w:val="ListBullet"/>
      </w:pPr>
      <w:r>
        <w:t>Sunday greeting duty at 8:00 AM, service 8:30 AM to 12:30 PM.</w:t>
      </w:r>
    </w:p>
    <w:p>
      <w:pPr>
        <w:pStyle w:val="ListBullet"/>
      </w:pPr>
      <w:r>
        <w:t>Christmas Eve midnight service, December 24, 2026.</w:t>
      </w:r>
    </w:p>
    <w:p>
      <w:pPr>
        <w:pStyle w:val="ListBullet"/>
      </w:pPr>
      <w:r>
        <w:t>Mother's Day recognition, May 9, 2027.</w:t>
      </w:r>
    </w:p>
    <w:p>
      <w:pPr>
        <w:pStyle w:val="ListBullet"/>
      </w:pPr>
      <w:r>
        <w:t>Spring 2027 community meal calendar in planning.</w:t>
      </w:r>
    </w:p>
    <w:p>
      <w:r>
        <w:br w:type="page"/>
      </w:r>
    </w:p>
    <w:p>
      <w:r>
        <w:rPr>
          <w:b/>
          <w:color w:val="7A2E22"/>
          <w:sz w:val="24"/>
        </w:rPr>
        <w:t>7. Confidentiality</w:t>
      </w:r>
    </w:p>
    <w:p>
      <w:r>
        <w:t>What is shared in confidence stays in confidence. Pastoral disclosures, family hardships, and the details behind a benevolence request do not leave the board. The minutes record decisions and totals, not the private circumstances behind them. This discretion is the foundation of the trust the congregation places in the board.</w:t>
      </w:r>
    </w:p>
    <w:p>
      <w:r>
        <w:rPr>
          <w:b/>
          <w:color w:val="7A2E22"/>
          <w:sz w:val="24"/>
        </w:rPr>
        <w:t>8. Working with the fleet</w:t>
      </w:r>
    </w:p>
    <w:p>
      <w:r>
        <w:t>The owner of Ward Taxi serves on the board, which means the fleet is available for funeral transportation and for getting congregants who cannot drive to evening services. This is coordinated with the fleet manager and drawn from the relief pool, never from drivers on active dispatch duty. It is offered, not advertised, and never billed to a family in need.</w:t>
      </w:r>
    </w:p>
    <w:p>
      <w:r>
        <w:rPr>
          <w:b/>
          <w:color w:val="7A2E22"/>
          <w:sz w:val="24"/>
        </w:rPr>
        <w:t>9. Closing</w:t>
      </w:r>
    </w:p>
    <w:p>
      <w:r>
        <w:t>These procedures are reviewed as the congregation's needs change. They exist to make sure that when someone in the church is grieving, recovering, or struggling, the response is organized, discreet, and quick. The board's work is quiet by design, and that is exactly how it should stay.</w:t>
      </w:r>
    </w:p>
    <w:p>
      <w:r>
        <w:br w:type="page"/>
      </w:r>
    </w:p>
    <w:p>
      <w:r>
        <w:rPr>
          <w:b/>
          <w:color w:val="7A2E22"/>
          <w:sz w:val="24"/>
        </w:rPr>
        <w:t>10. Annual event planning</w:t>
      </w:r>
    </w:p>
    <w:p>
      <w:r>
        <w:t>The board carries the logistics for the major events of the church year. Easter weekend and Christmas Eve are the largest. Planning starts well ahead and lives on a shared board so nothing falls through. The Christmas logistics for the coming year are in deck PP03 and the bulletin export V04.</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Event</w:t>
            </w:r>
          </w:p>
        </w:tc>
        <w:tc>
          <w:tcPr>
            <w:tcW w:type="dxa" w:w="3120"/>
          </w:tcPr>
          <w:p>
            <w:r>
              <w:rPr>
                <w:b/>
                <w:sz w:val="18"/>
              </w:rPr>
              <w:t>Lead</w:t>
            </w:r>
          </w:p>
        </w:tc>
        <w:tc>
          <w:tcPr>
            <w:tcW w:type="dxa" w:w="3120"/>
          </w:tcPr>
          <w:p>
            <w:r>
              <w:rPr>
                <w:b/>
                <w:sz w:val="18"/>
              </w:rPr>
              <w:t>Notes</w:t>
            </w:r>
          </w:p>
        </w:tc>
      </w:tr>
      <w:tr>
        <w:tc>
          <w:tcPr>
            <w:tcW w:type="dxa" w:w="3120"/>
          </w:tcPr>
          <w:p>
            <w:r>
              <w:rPr>
                <w:sz w:val="18"/>
              </w:rPr>
              <w:t>Christmas Eve service</w:t>
            </w:r>
          </w:p>
        </w:tc>
        <w:tc>
          <w:tcPr>
            <w:tcW w:type="dxa" w:w="3120"/>
          </w:tcPr>
          <w:p>
            <w:r>
              <w:rPr>
                <w:sz w:val="18"/>
              </w:rPr>
              <w:t>Ashley Ward</w:t>
            </w:r>
          </w:p>
        </w:tc>
        <w:tc>
          <w:tcPr>
            <w:tcW w:type="dxa" w:w="3120"/>
          </w:tcPr>
          <w:p>
            <w:r>
              <w:rPr>
                <w:sz w:val="18"/>
              </w:rPr>
              <w:t>December 24, 2026, transport plan</w:t>
            </w:r>
          </w:p>
        </w:tc>
      </w:tr>
      <w:tr>
        <w:tc>
          <w:tcPr>
            <w:tcW w:type="dxa" w:w="3120"/>
          </w:tcPr>
          <w:p>
            <w:r>
              <w:rPr>
                <w:sz w:val="18"/>
              </w:rPr>
              <w:t>Easter weekend</w:t>
            </w:r>
          </w:p>
        </w:tc>
        <w:tc>
          <w:tcPr>
            <w:tcW w:type="dxa" w:w="3120"/>
          </w:tcPr>
          <w:p>
            <w:r>
              <w:rPr>
                <w:sz w:val="18"/>
              </w:rPr>
              <w:t>Linda Charles</w:t>
            </w:r>
          </w:p>
        </w:tc>
        <w:tc>
          <w:tcPr>
            <w:tcW w:type="dxa" w:w="3120"/>
          </w:tcPr>
          <w:p>
            <w:r>
              <w:rPr>
                <w:sz w:val="18"/>
              </w:rPr>
              <w:t>Spring 2027 planning</w:t>
            </w:r>
          </w:p>
        </w:tc>
      </w:tr>
      <w:tr>
        <w:tc>
          <w:tcPr>
            <w:tcW w:type="dxa" w:w="3120"/>
          </w:tcPr>
          <w:p>
            <w:r>
              <w:rPr>
                <w:sz w:val="18"/>
              </w:rPr>
              <w:t>Mother's Day recognition</w:t>
            </w:r>
          </w:p>
        </w:tc>
        <w:tc>
          <w:tcPr>
            <w:tcW w:type="dxa" w:w="3120"/>
          </w:tcPr>
          <w:p>
            <w:r>
              <w:rPr>
                <w:sz w:val="18"/>
              </w:rPr>
              <w:t>Deacon board</w:t>
            </w:r>
          </w:p>
        </w:tc>
        <w:tc>
          <w:tcPr>
            <w:tcW w:type="dxa" w:w="3120"/>
          </w:tcPr>
          <w:p>
            <w:r>
              <w:rPr>
                <w:sz w:val="18"/>
              </w:rPr>
              <w:t>May 9, 2027</w:t>
            </w:r>
          </w:p>
        </w:tc>
      </w:tr>
      <w:tr>
        <w:tc>
          <w:tcPr>
            <w:tcW w:type="dxa" w:w="3120"/>
          </w:tcPr>
          <w:p>
            <w:r>
              <w:rPr>
                <w:sz w:val="18"/>
              </w:rPr>
              <w:t>Community meals</w:t>
            </w:r>
          </w:p>
        </w:tc>
        <w:tc>
          <w:tcPr>
            <w:tcW w:type="dxa" w:w="3120"/>
          </w:tcPr>
          <w:p>
            <w:r>
              <w:rPr>
                <w:sz w:val="18"/>
              </w:rPr>
              <w:t>Linda Charles</w:t>
            </w:r>
          </w:p>
        </w:tc>
        <w:tc>
          <w:tcPr>
            <w:tcW w:type="dxa" w:w="3120"/>
          </w:tcPr>
          <w:p>
            <w:r>
              <w:rPr>
                <w:sz w:val="18"/>
              </w:rPr>
              <w:t>Rolling calendar</w:t>
            </w:r>
          </w:p>
        </w:tc>
      </w:tr>
    </w:tbl>
    <w:p>
      <w:r>
        <w:rPr>
          <w:b/>
          <w:color w:val="7A2E22"/>
          <w:sz w:val="24"/>
        </w:rPr>
        <w:t>11. New deacon orientation</w:t>
      </w:r>
    </w:p>
    <w:p>
      <w:r>
        <w:t>A new deacon is walked through these procedures, the confidentiality expectations, and the standing rotations before taking on a role. The emphasis from the first day is discretion and service: what is shared in confidence stays in confidence, and the work is done quietly. The board grows slowly and by trust, the same way the congregation does.</w:t>
      </w:r>
    </w:p>
    <w:p>
      <w:r>
        <w:rPr>
          <w:b/>
          <w:color w:val="7A2E22"/>
          <w:sz w:val="24"/>
        </w:rPr>
        <w:t>12. Closing affirmation</w:t>
      </w:r>
    </w:p>
    <w:p>
      <w:r>
        <w:t>The deacon board is the hands of the congregation in the practical world. Funerals, meals, benevolence, and the logistics of worship are where faith becomes action. These procedures keep that action organized and discreet, so that the help arrives before it has to be asked for twice.</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7466"/>
        <w:sz w:val="15"/>
      </w:rPr>
      <w:t>Deacon Board Procedures    Ward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1" w:color="7A2E22"/>
      </w:pBdr>
    </w:pPr>
    <w:r>
      <w:rPr>
        <w:b/>
        <w:color w:val="7A2E22"/>
        <w:sz w:val="22"/>
      </w:rPr>
      <w:t>Deacon Board Procedures</w:t>
    </w:r>
    <w:r>
      <w:rPr>
        <w:sz w:val="16"/>
      </w:rPr>
      <w:t xml:space="preserve">    Grace Community Church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