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5F"/>
          <w:sz w:val="32"/>
        </w:rPr>
        <w:t>Oregon Department of Education</w:t>
      </w:r>
    </w:p>
    <w:p>
      <w:r>
        <w:rPr>
          <w:i/>
          <w:color w:val="555555"/>
          <w:sz w:val="20"/>
        </w:rPr>
        <w:t>State Innovation Grant Program, Application FY2026-27</w:t>
      </w:r>
    </w:p>
    <w:p>
      <w:r>
        <w:rPr>
          <w:b/>
          <w:color w:val="1F4E5F"/>
          <w:sz w:val="25"/>
        </w:rPr>
        <w:t>Applicant Information</w:t>
      </w:r>
    </w:p>
    <w:tbl>
      <w:tblPr>
        <w:tblStyle w:val="TableGrid"/>
        <w:tblW w:type="auto" w:w="0"/>
        <w:tblLook w:firstColumn="1" w:firstRow="1" w:lastColumn="0" w:lastRow="0" w:noHBand="0" w:noVBand="1" w:val="04A0"/>
      </w:tblPr>
      <w:tblGrid>
        <w:gridCol w:w="4320"/>
        <w:gridCol w:w="4320"/>
      </w:tblGrid>
      <w:tr>
        <w:tc>
          <w:tcPr>
            <w:tcW w:type="dxa" w:w="2880"/>
          </w:tcPr>
          <w:p>
            <w:r>
              <w:rPr>
                <w:b/>
              </w:rPr>
              <w:t>District</w:t>
            </w:r>
          </w:p>
        </w:tc>
        <w:tc>
          <w:tcPr>
            <w:tcW w:type="dxa" w:w="6480"/>
          </w:tcPr>
          <w:p>
            <w:r>
              <w:t>Cascade Ridge Unified School District</w:t>
            </w:r>
          </w:p>
        </w:tc>
      </w:tr>
      <w:tr>
        <w:tc>
          <w:tcPr>
            <w:tcW w:type="dxa" w:w="2880"/>
          </w:tcPr>
          <w:p>
            <w:r>
              <w:rPr>
                <w:b/>
              </w:rPr>
              <w:t>Project Title</w:t>
            </w:r>
          </w:p>
        </w:tc>
        <w:tc>
          <w:tcPr>
            <w:tcW w:type="dxa" w:w="6480"/>
          </w:tcPr>
          <w:p>
            <w:r>
              <w:t>Mirai STEM: East Side Innovation Pathways</w:t>
            </w:r>
          </w:p>
        </w:tc>
      </w:tr>
      <w:tr>
        <w:tc>
          <w:tcPr>
            <w:tcW w:type="dxa" w:w="2880"/>
          </w:tcPr>
          <w:p>
            <w:r>
              <w:rPr>
                <w:b/>
              </w:rPr>
              <w:t>Superintendent</w:t>
            </w:r>
          </w:p>
        </w:tc>
        <w:tc>
          <w:tcPr>
            <w:tcW w:type="dxa" w:w="6480"/>
          </w:tcPr>
          <w:p>
            <w:r>
              <w:t>Dr. Ayumi Meade</w:t>
            </w:r>
          </w:p>
        </w:tc>
      </w:tr>
      <w:tr>
        <w:tc>
          <w:tcPr>
            <w:tcW w:type="dxa" w:w="2880"/>
          </w:tcPr>
          <w:p>
            <w:r>
              <w:rPr>
                <w:b/>
              </w:rPr>
              <w:t>Project Director</w:t>
            </w:r>
          </w:p>
        </w:tc>
        <w:tc>
          <w:tcPr>
            <w:tcW w:type="dxa" w:w="6480"/>
          </w:tcPr>
          <w:p>
            <w:r>
              <w:t>Marcus Bell, Riverbend STEM Academy</w:t>
            </w:r>
          </w:p>
        </w:tc>
      </w:tr>
      <w:tr>
        <w:tc>
          <w:tcPr>
            <w:tcW w:type="dxa" w:w="2880"/>
          </w:tcPr>
          <w:p>
            <w:r>
              <w:rPr>
                <w:b/>
              </w:rPr>
              <w:t>Amount Requested</w:t>
            </w:r>
          </w:p>
        </w:tc>
        <w:tc>
          <w:tcPr>
            <w:tcW w:type="dxa" w:w="6480"/>
          </w:tcPr>
          <w:p>
            <w:r>
              <w:t>$1,250,000 over three years</w:t>
            </w:r>
          </w:p>
        </w:tc>
      </w:tr>
      <w:tr>
        <w:tc>
          <w:tcPr>
            <w:tcW w:type="dxa" w:w="2880"/>
          </w:tcPr>
          <w:p>
            <w:r>
              <w:rPr>
                <w:b/>
              </w:rPr>
              <w:t>Submission Deadline</w:t>
            </w:r>
          </w:p>
        </w:tc>
        <w:tc>
          <w:tcPr>
            <w:tcW w:type="dxa" w:w="6480"/>
          </w:tcPr>
          <w:p>
            <w:r>
              <w:t>November 16, 2026</w:t>
            </w:r>
          </w:p>
        </w:tc>
      </w:tr>
      <w:tr>
        <w:tc>
          <w:tcPr>
            <w:tcW w:type="dxa" w:w="2880"/>
          </w:tcPr>
          <w:p>
            <w:r>
              <w:rPr>
                <w:b/>
              </w:rPr>
              <w:t>Sites</w:t>
            </w:r>
          </w:p>
        </w:tc>
        <w:tc>
          <w:tcPr>
            <w:tcW w:type="dxa" w:w="6480"/>
          </w:tcPr>
          <w:p>
            <w:r>
              <w:t>Riverbend STEM Academy and Lincoln Park Elementary</w:t>
            </w:r>
          </w:p>
        </w:tc>
      </w:tr>
    </w:tbl>
    <w:p>
      <w:r>
        <w:rPr>
          <w:b/>
          <w:color w:val="1F4E5F"/>
          <w:sz w:val="25"/>
        </w:rPr>
        <w:t>Narrative, Statement of Need</w:t>
      </w:r>
    </w:p>
    <w:p>
      <w:r>
        <w:t>Cascade Ridge serves 22,000 students across 31 schools. Our January 2026 equity audit confirmed a measurable resource gap between west side and east side schools. The Mirai STEM initiative, now operating at two east side sites, is our most direct answer to that gap. This grant would let the investment outlast the current funding cycle rather than ending when one year of local money runs out.</w:t>
      </w:r>
    </w:p>
    <w:p>
      <w:r>
        <w:rPr>
          <w:b/>
          <w:color w:val="1F4E5F"/>
          <w:sz w:val="25"/>
        </w:rPr>
        <w:t>Project Goals</w:t>
      </w:r>
    </w:p>
    <w:p>
      <w:r>
        <w:t>1. Expand hands-on STEM labs at both east side sites.</w:t>
        <w:br/>
        <w:t>2. Fund teacher training in inquiry-based science.</w:t>
        <w:br/>
        <w:t>3. Build a middle to high school engineering pathway.</w:t>
        <w:br/>
        <w:t>4. Close the participation gap for girls and multilingual learners in STEM.</w:t>
      </w:r>
    </w:p>
    <w:p>
      <w:r>
        <w:rPr>
          <w:b/>
          <w:color w:val="1F4E5F"/>
          <w:sz w:val="25"/>
        </w:rPr>
        <w:t>Budget Summary</w:t>
      </w:r>
    </w:p>
    <w:tbl>
      <w:tblPr>
        <w:tblStyle w:val="TableGrid"/>
        <w:tblW w:type="auto" w:w="0"/>
        <w:tblLook w:firstColumn="1" w:firstRow="1" w:lastColumn="0" w:lastRow="0" w:noHBand="0" w:noVBand="1" w:val="04A0"/>
      </w:tblPr>
      <w:tblGrid>
        <w:gridCol w:w="2160"/>
        <w:gridCol w:w="2160"/>
        <w:gridCol w:w="2160"/>
        <w:gridCol w:w="2160"/>
      </w:tblGrid>
      <w:tr>
        <w:tc>
          <w:tcPr>
            <w:tcW w:type="dxa" w:w="3744"/>
          </w:tcPr>
          <w:p>
            <w:r>
              <w:rPr>
                <w:b/>
              </w:rPr>
              <w:t>Category</w:t>
            </w:r>
          </w:p>
        </w:tc>
        <w:tc>
          <w:tcPr>
            <w:tcW w:type="dxa" w:w="1872"/>
          </w:tcPr>
          <w:p>
            <w:r>
              <w:rPr>
                <w:b/>
              </w:rPr>
              <w:t>Year 1</w:t>
            </w:r>
          </w:p>
        </w:tc>
        <w:tc>
          <w:tcPr>
            <w:tcW w:type="dxa" w:w="1872"/>
          </w:tcPr>
          <w:p>
            <w:r>
              <w:rPr>
                <w:b/>
              </w:rPr>
              <w:t>Year 2</w:t>
            </w:r>
          </w:p>
        </w:tc>
        <w:tc>
          <w:tcPr>
            <w:tcW w:type="dxa" w:w="1872"/>
          </w:tcPr>
          <w:p>
            <w:r>
              <w:rPr>
                <w:b/>
              </w:rPr>
              <w:t>Year 3</w:t>
            </w:r>
          </w:p>
        </w:tc>
      </w:tr>
      <w:tr>
        <w:tc>
          <w:tcPr>
            <w:tcW w:type="dxa" w:w="3744"/>
          </w:tcPr>
          <w:p>
            <w:r>
              <w:t>Lab equipment and materials</w:t>
            </w:r>
          </w:p>
        </w:tc>
        <w:tc>
          <w:tcPr>
            <w:tcW w:type="dxa" w:w="1872"/>
          </w:tcPr>
          <w:p>
            <w:r>
              <w:t>$300,000</w:t>
            </w:r>
          </w:p>
        </w:tc>
        <w:tc>
          <w:tcPr>
            <w:tcW w:type="dxa" w:w="1872"/>
          </w:tcPr>
          <w:p>
            <w:r>
              <w:t>$95,000</w:t>
            </w:r>
          </w:p>
        </w:tc>
        <w:tc>
          <w:tcPr>
            <w:tcW w:type="dxa" w:w="1872"/>
          </w:tcPr>
          <w:p>
            <w:r>
              <w:t>$80,000</w:t>
            </w:r>
          </w:p>
        </w:tc>
      </w:tr>
      <w:tr>
        <w:tc>
          <w:tcPr>
            <w:tcW w:type="dxa" w:w="3744"/>
          </w:tcPr>
          <w:p>
            <w:r>
              <w:t>Teacher training and stipends</w:t>
            </w:r>
          </w:p>
        </w:tc>
        <w:tc>
          <w:tcPr>
            <w:tcW w:type="dxa" w:w="1872"/>
          </w:tcPr>
          <w:p>
            <w:r>
              <w:t>$150,000</w:t>
            </w:r>
          </w:p>
        </w:tc>
        <w:tc>
          <w:tcPr>
            <w:tcW w:type="dxa" w:w="1872"/>
          </w:tcPr>
          <w:p>
            <w:r>
              <w:t>$150,000</w:t>
            </w:r>
          </w:p>
        </w:tc>
        <w:tc>
          <w:tcPr>
            <w:tcW w:type="dxa" w:w="1872"/>
          </w:tcPr>
          <w:p>
            <w:r>
              <w:t>$150,000</w:t>
            </w:r>
          </w:p>
        </w:tc>
      </w:tr>
      <w:tr>
        <w:tc>
          <w:tcPr>
            <w:tcW w:type="dxa" w:w="3744"/>
          </w:tcPr>
          <w:p>
            <w:r>
              <w:t>STEM coordinator (0.5 FTE)</w:t>
            </w:r>
          </w:p>
        </w:tc>
        <w:tc>
          <w:tcPr>
            <w:tcW w:type="dxa" w:w="1872"/>
          </w:tcPr>
          <w:p>
            <w:r>
              <w:t>$58,000</w:t>
            </w:r>
          </w:p>
        </w:tc>
        <w:tc>
          <w:tcPr>
            <w:tcW w:type="dxa" w:w="1872"/>
          </w:tcPr>
          <w:p>
            <w:r>
              <w:t>$60,000</w:t>
            </w:r>
          </w:p>
        </w:tc>
        <w:tc>
          <w:tcPr>
            <w:tcW w:type="dxa" w:w="1872"/>
          </w:tcPr>
          <w:p>
            <w:r>
              <w:t>$62,000</w:t>
            </w:r>
          </w:p>
        </w:tc>
      </w:tr>
      <w:tr>
        <w:tc>
          <w:tcPr>
            <w:tcW w:type="dxa" w:w="3744"/>
          </w:tcPr>
          <w:p>
            <w:r>
              <w:t>Family engagement and materials</w:t>
            </w:r>
          </w:p>
        </w:tc>
        <w:tc>
          <w:tcPr>
            <w:tcW w:type="dxa" w:w="1872"/>
          </w:tcPr>
          <w:p>
            <w:r>
              <w:t>$30,000</w:t>
            </w:r>
          </w:p>
        </w:tc>
        <w:tc>
          <w:tcPr>
            <w:tcW w:type="dxa" w:w="1872"/>
          </w:tcPr>
          <w:p>
            <w:r>
              <w:t>$30,000</w:t>
            </w:r>
          </w:p>
        </w:tc>
        <w:tc>
          <w:tcPr>
            <w:tcW w:type="dxa" w:w="1872"/>
          </w:tcPr>
          <w:p>
            <w:r>
              <w:t>$25,000</w:t>
            </w:r>
          </w:p>
        </w:tc>
      </w:tr>
      <w:tr>
        <w:tc>
          <w:tcPr>
            <w:tcW w:type="dxa" w:w="3744"/>
          </w:tcPr>
          <w:p>
            <w:r>
              <w:t>Evaluation and reporting</w:t>
            </w:r>
          </w:p>
        </w:tc>
        <w:tc>
          <w:tcPr>
            <w:tcW w:type="dxa" w:w="1872"/>
          </w:tcPr>
          <w:p>
            <w:r>
              <w:t>$20,000</w:t>
            </w:r>
          </w:p>
        </w:tc>
        <w:tc>
          <w:tcPr>
            <w:tcW w:type="dxa" w:w="1872"/>
          </w:tcPr>
          <w:p>
            <w:r>
              <w:t>$22,000</w:t>
            </w:r>
          </w:p>
        </w:tc>
        <w:tc>
          <w:tcPr>
            <w:tcW w:type="dxa" w:w="1872"/>
          </w:tcPr>
          <w:p>
            <w:r>
              <w:t>$18,000</w:t>
            </w:r>
          </w:p>
        </w:tc>
      </w:tr>
    </w:tbl>
    <w:p>
      <w:r>
        <w:t>Three year total: $1,250,000. The district commits matching in-kind support including facilities and existing staff time.</w:t>
      </w:r>
    </w:p>
    <w:p>
      <w:r>
        <w:rPr>
          <w:b/>
          <w:color w:val="1F4E5F"/>
          <w:sz w:val="25"/>
        </w:rPr>
        <w:t>Evaluation Plan</w:t>
      </w:r>
    </w:p>
    <w:p>
      <w:r>
        <w:t>Success is measured by STEM course enrollment, the demographic makeup of that enrollment against the audit baseline, and eighth grade science proficiency. A state site visit is scheduled October 28, 2026, ahead of this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2026-10-01T09:00:00Z</dcterms:created>
  <dcterms:modified xsi:type="dcterms:W3CDTF">2026-10-01T09:00:00Z</dcterms:modified>
  <cp:category/>
</cp:coreProperties>
</file>