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32"/>
        </w:rPr>
        <w:t>Cascade Ridge Unified School District</w:t>
      </w:r>
    </w:p>
    <w:p>
      <w:r>
        <w:rPr>
          <w:i/>
          <w:color w:val="555555"/>
          <w:sz w:val="20"/>
        </w:rPr>
        <w:t>Office of the Superintendent</w:t>
      </w:r>
    </w:p>
    <w:p>
      <w:r>
        <w:rPr>
          <w:b/>
          <w:color w:val="1F4E5F"/>
          <w:sz w:val="25"/>
        </w:rPr>
        <w:t>Administrative Consolidation Proposal</w:t>
      </w:r>
    </w:p>
    <w:tbl>
      <w:tblPr>
        <w:tblStyle w:val="TableGrid"/>
        <w:tblW w:type="auto" w:w="0"/>
        <w:tblLook w:firstColumn="1" w:firstRow="1" w:lastColumn="0" w:lastRow="0" w:noHBand="0" w:noVBand="1" w:val="04A0"/>
      </w:tblPr>
      <w:tblGrid>
        <w:gridCol w:w="4320"/>
        <w:gridCol w:w="4320"/>
      </w:tblGrid>
      <w:tr>
        <w:tc>
          <w:tcPr>
            <w:tcW w:type="dxa" w:w="2880"/>
          </w:tcPr>
          <w:p>
            <w:r>
              <w:rPr>
                <w:b/>
              </w:rPr>
              <w:t>To</w:t>
            </w:r>
          </w:p>
        </w:tc>
        <w:tc>
          <w:tcPr>
            <w:tcW w:type="dxa" w:w="6480"/>
          </w:tcPr>
          <w:p>
            <w:r>
              <w:t>Board of Education</w:t>
            </w:r>
          </w:p>
        </w:tc>
      </w:tr>
      <w:tr>
        <w:tc>
          <w:tcPr>
            <w:tcW w:type="dxa" w:w="2880"/>
          </w:tcPr>
          <w:p>
            <w:r>
              <w:rPr>
                <w:b/>
              </w:rPr>
              <w:t>From</w:t>
            </w:r>
          </w:p>
        </w:tc>
        <w:tc>
          <w:tcPr>
            <w:tcW w:type="dxa" w:w="6480"/>
          </w:tcPr>
          <w:p>
            <w:r>
              <w:t>Dr. Ayumi Meade, Superintendent</w:t>
            </w:r>
          </w:p>
        </w:tc>
      </w:tr>
      <w:tr>
        <w:tc>
          <w:tcPr>
            <w:tcW w:type="dxa" w:w="2880"/>
          </w:tcPr>
          <w:p>
            <w:r>
              <w:rPr>
                <w:b/>
              </w:rPr>
              <w:t>Date</w:t>
            </w:r>
          </w:p>
        </w:tc>
        <w:tc>
          <w:tcPr>
            <w:tcW w:type="dxa" w:w="6480"/>
          </w:tcPr>
          <w:p>
            <w:r>
              <w:t>October 6, 2026</w:t>
            </w:r>
          </w:p>
        </w:tc>
      </w:tr>
      <w:tr>
        <w:tc>
          <w:tcPr>
            <w:tcW w:type="dxa" w:w="2880"/>
          </w:tcPr>
          <w:p>
            <w:r>
              <w:rPr>
                <w:b/>
              </w:rPr>
              <w:t>Re</w:t>
            </w:r>
          </w:p>
        </w:tc>
        <w:tc>
          <w:tcPr>
            <w:tcW w:type="dxa" w:w="6480"/>
          </w:tcPr>
          <w:p>
            <w:r>
              <w:t>Closing the FY2026-27 structural gap without teacher layoffs</w:t>
            </w:r>
          </w:p>
        </w:tc>
      </w:tr>
      <w:tr>
        <w:tc>
          <w:tcPr>
            <w:tcW w:type="dxa" w:w="2880"/>
          </w:tcPr>
          <w:p>
            <w:r>
              <w:rPr>
                <w:b/>
              </w:rPr>
              <w:t>Action</w:t>
            </w:r>
          </w:p>
        </w:tc>
        <w:tc>
          <w:tcPr>
            <w:tcW w:type="dxa" w:w="6480"/>
          </w:tcPr>
          <w:p>
            <w:r>
              <w:t>Requested at the October 13, 2026 board meeting</w:t>
            </w:r>
          </w:p>
        </w:tc>
      </w:tr>
    </w:tbl>
    <w:p>
      <w:r>
        <w:rPr>
          <w:b/>
          <w:color w:val="1F4E5F"/>
          <w:sz w:val="25"/>
        </w:rPr>
        <w:t>Summary</w:t>
      </w:r>
    </w:p>
    <w:p>
      <w:r>
        <w:t>We face a confirmed structural shortfall of $4,800,000 for fiscal year 2026 to 2027. I am recommending administrative consolidation paired with a facilities bond rather than reductions in our teaching force. Teachers are the part of this system we should protect first, not cut first.</w:t>
      </w:r>
    </w:p>
    <w:p>
      <w:r>
        <w:rPr>
          <w:b/>
          <w:color w:val="1F4E5F"/>
          <w:sz w:val="25"/>
        </w:rPr>
        <w:t>The Problem, Upstream</w:t>
      </w:r>
    </w:p>
    <w:p>
      <w:r>
        <w:t>This gap is not a spending problem at the classroom level. It is the product of three years of declining state per-pupil funding against rising PERS rates and utility costs. Cutting teachers would shrink the very thing the community sends us their children for, and it would not fix the structural cause.</w:t>
      </w:r>
    </w:p>
    <w:p>
      <w:r>
        <w:rPr>
          <w:b/>
          <w:color w:val="1F4E5F"/>
          <w:sz w:val="25"/>
        </w:rPr>
        <w:t>Proposed Consolidation</w:t>
      </w:r>
    </w:p>
    <w:tbl>
      <w:tblPr>
        <w:tblStyle w:val="TableGrid"/>
        <w:tblW w:type="auto" w:w="0"/>
        <w:tblLook w:firstColumn="1" w:firstRow="1" w:lastColumn="0" w:lastRow="0" w:noHBand="0" w:noVBand="1" w:val="04A0"/>
      </w:tblPr>
      <w:tblGrid>
        <w:gridCol w:w="2880"/>
        <w:gridCol w:w="2880"/>
        <w:gridCol w:w="2880"/>
      </w:tblGrid>
      <w:tr>
        <w:tc>
          <w:tcPr>
            <w:tcW w:type="dxa" w:w="3168"/>
          </w:tcPr>
          <w:p>
            <w:r>
              <w:rPr>
                <w:b/>
              </w:rPr>
              <w:t>Action</w:t>
            </w:r>
          </w:p>
        </w:tc>
        <w:tc>
          <w:tcPr>
            <w:tcW w:type="dxa" w:w="4320"/>
          </w:tcPr>
          <w:p>
            <w:r>
              <w:rPr>
                <w:b/>
              </w:rPr>
              <w:t>Detail</w:t>
            </w:r>
          </w:p>
        </w:tc>
        <w:tc>
          <w:tcPr>
            <w:tcW w:type="dxa" w:w="1872"/>
          </w:tcPr>
          <w:p>
            <w:r>
              <w:rPr>
                <w:b/>
              </w:rPr>
              <w:t>Annual Savings</w:t>
            </w:r>
          </w:p>
        </w:tc>
      </w:tr>
      <w:tr>
        <w:tc>
          <w:tcPr>
            <w:tcW w:type="dxa" w:w="3168"/>
          </w:tcPr>
          <w:p>
            <w:r>
              <w:t>Merge two assistant superintendent roles</w:t>
            </w:r>
          </w:p>
        </w:tc>
        <w:tc>
          <w:tcPr>
            <w:tcW w:type="dxa" w:w="4320"/>
          </w:tcPr>
          <w:p>
            <w:r>
              <w:t>Combine Curriculum and Student Services under one cabinet position</w:t>
            </w:r>
          </w:p>
        </w:tc>
        <w:tc>
          <w:tcPr>
            <w:tcW w:type="dxa" w:w="1872"/>
          </w:tcPr>
          <w:p>
            <w:r>
              <w:t>$310,000</w:t>
            </w:r>
          </w:p>
        </w:tc>
      </w:tr>
      <w:tr>
        <w:tc>
          <w:tcPr>
            <w:tcW w:type="dxa" w:w="3168"/>
          </w:tcPr>
          <w:p>
            <w:r>
              <w:t>Consolidate three regional coordinator posts to two</w:t>
            </w:r>
          </w:p>
        </w:tc>
        <w:tc>
          <w:tcPr>
            <w:tcW w:type="dxa" w:w="4320"/>
          </w:tcPr>
          <w:p>
            <w:r>
              <w:t>Through attrition, no involuntary separation</w:t>
            </w:r>
          </w:p>
        </w:tc>
        <w:tc>
          <w:tcPr>
            <w:tcW w:type="dxa" w:w="1872"/>
          </w:tcPr>
          <w:p>
            <w:r>
              <w:t>$185,000</w:t>
            </w:r>
          </w:p>
        </w:tc>
      </w:tr>
      <w:tr>
        <w:tc>
          <w:tcPr>
            <w:tcW w:type="dxa" w:w="3168"/>
          </w:tcPr>
          <w:p>
            <w:r>
              <w:t>Centralize procurement and contracts</w:t>
            </w:r>
          </w:p>
        </w:tc>
        <w:tc>
          <w:tcPr>
            <w:tcW w:type="dxa" w:w="4320"/>
          </w:tcPr>
          <w:p>
            <w:r>
              <w:t>One office, district-wide purchasing leverage</w:t>
            </w:r>
          </w:p>
        </w:tc>
        <w:tc>
          <w:tcPr>
            <w:tcW w:type="dxa" w:w="1872"/>
          </w:tcPr>
          <w:p>
            <w:r>
              <w:t>$240,000</w:t>
            </w:r>
          </w:p>
        </w:tc>
      </w:tr>
      <w:tr>
        <w:tc>
          <w:tcPr>
            <w:tcW w:type="dxa" w:w="3168"/>
          </w:tcPr>
          <w:p>
            <w:r>
              <w:t>Restructure central office support</w:t>
            </w:r>
          </w:p>
        </w:tc>
        <w:tc>
          <w:tcPr>
            <w:tcW w:type="dxa" w:w="4320"/>
          </w:tcPr>
          <w:p>
            <w:r>
              <w:t>Reduce six positions over 18 months via attrition</w:t>
            </w:r>
          </w:p>
        </w:tc>
        <w:tc>
          <w:tcPr>
            <w:tcW w:type="dxa" w:w="1872"/>
          </w:tcPr>
          <w:p>
            <w:r>
              <w:t>$640,000</w:t>
            </w:r>
          </w:p>
        </w:tc>
      </w:tr>
      <w:tr>
        <w:tc>
          <w:tcPr>
            <w:tcW w:type="dxa" w:w="3168"/>
          </w:tcPr>
          <w:p>
            <w:r>
              <w:t>Renegotiate vendor and software contracts</w:t>
            </w:r>
          </w:p>
        </w:tc>
        <w:tc>
          <w:tcPr>
            <w:tcW w:type="dxa" w:w="4320"/>
          </w:tcPr>
          <w:p>
            <w:r>
              <w:t>Eliminate duplicate platforms</w:t>
            </w:r>
          </w:p>
        </w:tc>
        <w:tc>
          <w:tcPr>
            <w:tcW w:type="dxa" w:w="1872"/>
          </w:tcPr>
          <w:p>
            <w:r>
              <w:t>$525,000</w:t>
            </w:r>
          </w:p>
        </w:tc>
      </w:tr>
    </w:tbl>
    <w:p>
      <w:r>
        <w:t>Estimated annual savings: $1.9 million. No teaching positions are eliminated.</w:t>
      </w:r>
    </w:p>
    <w:p>
      <w:r>
        <w:rPr>
          <w:b/>
          <w:color w:val="1F4E5F"/>
          <w:sz w:val="25"/>
        </w:rPr>
        <w:t>Stakeholder Impact</w:t>
      </w:r>
    </w:p>
    <w:p>
      <w:r>
        <w:t>The union will watch this closely; framing it as protecting teachers first is both true and necessary. The board's fiscal conservatives, led by President Odom, will want the savings verified before the bond conversation. East side parents will ask whether consolidation touches the Mirai STEM investment. It does not.</w:t>
      </w:r>
    </w:p>
    <w:p>
      <w:r>
        <w:rPr>
          <w:b/>
          <w:color w:val="1F4E5F"/>
          <w:sz w:val="25"/>
        </w:rPr>
        <w:t>Recommendation</w:t>
      </w:r>
    </w:p>
    <w:p>
      <w:r>
        <w:t>Approve the consolidation framework and direct staff to bring the facilities bond scope to the October 30 retreat.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2026-10-01T09:00:00Z</dcterms:created>
  <dcterms:modified xsi:type="dcterms:W3CDTF">2026-10-01T09:00:00Z</dcterms:modified>
  <cp:category/>
</cp:coreProperties>
</file>