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32"/>
        </w:rPr>
        <w:t>Cascade Ridge Unified School District</w:t>
      </w:r>
    </w:p>
    <w:p>
      <w:r>
        <w:rPr>
          <w:i/>
          <w:color w:val="555555"/>
          <w:sz w:val="20"/>
        </w:rPr>
        <w:t>Office of the Superintendent, Confidential Negotiation Memo</w:t>
      </w:r>
    </w:p>
    <w:p>
      <w:r>
        <w:rPr>
          <w:b/>
          <w:color w:val="1F4E5F"/>
          <w:sz w:val="25"/>
        </w:rPr>
        <w:t>Bell Schedule Negotiation, Counterproposal Tracking</w:t>
      </w:r>
    </w:p>
    <w:tbl>
      <w:tblPr>
        <w:tblStyle w:val="TableGrid"/>
        <w:tblW w:type="auto" w:w="0"/>
        <w:tblLook w:firstColumn="1" w:firstRow="1" w:lastColumn="0" w:lastRow="0" w:noHBand="0" w:noVBand="1" w:val="04A0"/>
      </w:tblPr>
      <w:tblGrid>
        <w:gridCol w:w="4320"/>
        <w:gridCol w:w="4320"/>
      </w:tblGrid>
      <w:tr>
        <w:tc>
          <w:tcPr>
            <w:tcW w:type="dxa" w:w="2880"/>
          </w:tcPr>
          <w:p>
            <w:r>
              <w:rPr>
                <w:b/>
              </w:rPr>
              <w:t>To</w:t>
            </w:r>
          </w:p>
        </w:tc>
        <w:tc>
          <w:tcPr>
            <w:tcW w:type="dxa" w:w="6480"/>
          </w:tcPr>
          <w:p>
            <w:r>
              <w:t>Cabinet and Board negotiating subcommittee</w:t>
            </w:r>
          </w:p>
        </w:tc>
      </w:tr>
      <w:tr>
        <w:tc>
          <w:tcPr>
            <w:tcW w:type="dxa" w:w="2880"/>
          </w:tcPr>
          <w:p>
            <w:r>
              <w:rPr>
                <w:b/>
              </w:rPr>
              <w:t>From</w:t>
            </w:r>
          </w:p>
        </w:tc>
        <w:tc>
          <w:tcPr>
            <w:tcW w:type="dxa" w:w="6480"/>
          </w:tcPr>
          <w:p>
            <w:r>
              <w:t>Dr. Ayumi Meade</w:t>
            </w:r>
          </w:p>
        </w:tc>
      </w:tr>
      <w:tr>
        <w:tc>
          <w:tcPr>
            <w:tcW w:type="dxa" w:w="2880"/>
          </w:tcPr>
          <w:p>
            <w:r>
              <w:rPr>
                <w:b/>
              </w:rPr>
              <w:t>Date</w:t>
            </w:r>
          </w:p>
        </w:tc>
        <w:tc>
          <w:tcPr>
            <w:tcW w:type="dxa" w:w="6480"/>
          </w:tcPr>
          <w:p>
            <w:r>
              <w:t>October 9, 2026</w:t>
            </w:r>
          </w:p>
        </w:tc>
      </w:tr>
      <w:tr>
        <w:tc>
          <w:tcPr>
            <w:tcW w:type="dxa" w:w="2880"/>
          </w:tcPr>
          <w:p>
            <w:r>
              <w:rPr>
                <w:b/>
              </w:rPr>
              <w:t>Re</w:t>
            </w:r>
          </w:p>
        </w:tc>
        <w:tc>
          <w:tcPr>
            <w:tcW w:type="dxa" w:w="6480"/>
          </w:tcPr>
          <w:p>
            <w:r>
              <w:t>Tutoring hours and bell schedule, exchange with the teachers' union</w:t>
            </w:r>
          </w:p>
        </w:tc>
      </w:tr>
      <w:tr>
        <w:tc>
          <w:tcPr>
            <w:tcW w:type="dxa" w:w="2880"/>
          </w:tcPr>
          <w:p>
            <w:r>
              <w:rPr>
                <w:b/>
              </w:rPr>
              <w:t>Union Counterpart</w:t>
            </w:r>
          </w:p>
        </w:tc>
        <w:tc>
          <w:tcPr>
            <w:tcW w:type="dxa" w:w="6480"/>
          </w:tcPr>
          <w:p>
            <w:r>
              <w:t>David Kowalski, President, Cascade Ridge Education Association</w:t>
            </w:r>
          </w:p>
        </w:tc>
      </w:tr>
    </w:tbl>
    <w:p>
      <w:r>
        <w:rPr>
          <w:b/>
          <w:color w:val="1F4E5F"/>
          <w:sz w:val="25"/>
        </w:rPr>
        <w:t>Where We Are</w:t>
      </w:r>
    </w:p>
    <w:p>
      <w:r>
        <w:t>David and I disagree honestly about the bell schedule, and underneath the disagreement there is real respect. He is not wrong that we keep asking teachers to absorb more time. My goal is expanded tutoring hours without taking that time uncompensated.</w:t>
      </w:r>
    </w:p>
    <w:p>
      <w:r>
        <w:rPr>
          <w:b/>
          <w:color w:val="1F4E5F"/>
          <w:sz w:val="25"/>
        </w:rPr>
        <w:t>Positions on the Table</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r>
              <w:rPr>
                <w:b/>
              </w:rPr>
              <w:t>Issue</w:t>
            </w:r>
          </w:p>
        </w:tc>
        <w:tc>
          <w:tcPr>
            <w:tcW w:type="dxa" w:w="2592"/>
          </w:tcPr>
          <w:p>
            <w:r>
              <w:rPr>
                <w:b/>
              </w:rPr>
              <w:t>District Position</w:t>
            </w:r>
          </w:p>
        </w:tc>
        <w:tc>
          <w:tcPr>
            <w:tcW w:type="dxa" w:w="2448"/>
          </w:tcPr>
          <w:p>
            <w:r>
              <w:rPr>
                <w:b/>
              </w:rPr>
              <w:t>Union Position</w:t>
            </w:r>
          </w:p>
        </w:tc>
        <w:tc>
          <w:tcPr>
            <w:tcW w:type="dxa" w:w="2592"/>
          </w:tcPr>
          <w:p>
            <w:r>
              <w:rPr>
                <w:b/>
              </w:rPr>
              <w:t>Possible Landing</w:t>
            </w:r>
          </w:p>
        </w:tc>
      </w:tr>
      <w:tr>
        <w:tc>
          <w:tcPr>
            <w:tcW w:type="dxa" w:w="2448"/>
          </w:tcPr>
          <w:p>
            <w:r>
              <w:t>Added tutoring time</w:t>
            </w:r>
          </w:p>
        </w:tc>
        <w:tc>
          <w:tcPr>
            <w:tcW w:type="dxa" w:w="2592"/>
          </w:tcPr>
          <w:p>
            <w:r>
              <w:t>30 min, four days/week</w:t>
            </w:r>
          </w:p>
        </w:tc>
        <w:tc>
          <w:tcPr>
            <w:tcW w:type="dxa" w:w="2448"/>
          </w:tcPr>
          <w:p>
            <w:r>
              <w:t>Opposed if unpaid</w:t>
            </w:r>
          </w:p>
        </w:tc>
        <w:tc>
          <w:tcPr>
            <w:tcW w:type="dxa" w:w="2592"/>
          </w:tcPr>
          <w:p>
            <w:r>
              <w:t>Two days, stipend funded</w:t>
            </w:r>
          </w:p>
        </w:tc>
      </w:tr>
      <w:tr>
        <w:tc>
          <w:tcPr>
            <w:tcW w:type="dxa" w:w="2448"/>
          </w:tcPr>
          <w:p>
            <w:r>
              <w:t>Start time</w:t>
            </w:r>
          </w:p>
        </w:tc>
        <w:tc>
          <w:tcPr>
            <w:tcW w:type="dxa" w:w="2592"/>
          </w:tcPr>
          <w:p>
            <w:r>
              <w:t>No change</w:t>
            </w:r>
          </w:p>
        </w:tc>
        <w:tc>
          <w:tcPr>
            <w:tcW w:type="dxa" w:w="2448"/>
          </w:tcPr>
          <w:p>
            <w:r>
              <w:t>Shift later 15 min</w:t>
            </w:r>
          </w:p>
        </w:tc>
        <w:tc>
          <w:tcPr>
            <w:tcW w:type="dxa" w:w="2592"/>
          </w:tcPr>
          <w:p>
            <w:r>
              <w:t>Pilot at two schools</w:t>
            </w:r>
          </w:p>
        </w:tc>
      </w:tr>
      <w:tr>
        <w:tc>
          <w:tcPr>
            <w:tcW w:type="dxa" w:w="2448"/>
          </w:tcPr>
          <w:p>
            <w:r>
              <w:t>Prep period protection</w:t>
            </w:r>
          </w:p>
        </w:tc>
        <w:tc>
          <w:tcPr>
            <w:tcW w:type="dxa" w:w="2592"/>
          </w:tcPr>
          <w:p>
            <w:r>
              <w:t>Maintain</w:t>
            </w:r>
          </w:p>
        </w:tc>
        <w:tc>
          <w:tcPr>
            <w:tcW w:type="dxa" w:w="2448"/>
          </w:tcPr>
          <w:p>
            <w:r>
              <w:t>Maintain plus guarantee</w:t>
            </w:r>
          </w:p>
        </w:tc>
        <w:tc>
          <w:tcPr>
            <w:tcW w:type="dxa" w:w="2592"/>
          </w:tcPr>
          <w:p>
            <w:r>
              <w:t>Written guarantee, acceptable</w:t>
            </w:r>
          </w:p>
        </w:tc>
      </w:tr>
      <w:tr>
        <w:tc>
          <w:tcPr>
            <w:tcW w:type="dxa" w:w="2448"/>
          </w:tcPr>
          <w:p>
            <w:r>
              <w:t>Compensation</w:t>
            </w:r>
          </w:p>
        </w:tc>
        <w:tc>
          <w:tcPr>
            <w:tcW w:type="dxa" w:w="2592"/>
          </w:tcPr>
          <w:p>
            <w:r>
              <w:t>Stipend pool $180k</w:t>
            </w:r>
          </w:p>
        </w:tc>
        <w:tc>
          <w:tcPr>
            <w:tcW w:type="dxa" w:w="2448"/>
          </w:tcPr>
          <w:p>
            <w:r>
              <w:t>Hourly rate</w:t>
            </w:r>
          </w:p>
        </w:tc>
        <w:tc>
          <w:tcPr>
            <w:tcW w:type="dxa" w:w="2592"/>
          </w:tcPr>
          <w:p>
            <w:r>
              <w:t>Stipend, revisit in spring</w:t>
            </w:r>
          </w:p>
        </w:tc>
      </w:tr>
    </w:tbl>
    <w:p>
      <w:r>
        <w:rPr>
          <w:b/>
          <w:color w:val="1F4E5F"/>
          <w:sz w:val="25"/>
        </w:rPr>
        <w:t>Strategy Note</w:t>
      </w:r>
    </w:p>
    <w:p>
      <w:r>
        <w:t>Concede the prep period guarantee early; it costs us nothing and buys trust. Hold the line on a stipend model rather than an hourly precedent. If we fund the stipend from the consolidation savings, I can tell both the board and the union the same honest story. Next session is October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2026-10-01T09:00:00Z</dcterms:created>
  <dcterms:modified xsi:type="dcterms:W3CDTF">2026-10-01T09:00:00Z</dcterms:modified>
  <cp:category/>
</cp:coreProperties>
</file>