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5F"/>
          <w:sz w:val="32"/>
        </w:rPr>
        <w:t>Private Memo to Self</w:t>
      </w:r>
    </w:p>
    <w:p>
      <w:r>
        <w:rPr>
          <w:i/>
          <w:color w:val="555555"/>
          <w:sz w:val="20"/>
        </w:rPr>
        <w:t>Oregon State Board of Education, 2028, should I run?</w:t>
      </w:r>
    </w:p>
    <w:p>
      <w:r>
        <w:t>Written October 2026. Not for anyone else. The Alliance keeps asking. Naomi thinks I should. Brendan said he is in either way, which is its own kind of answer.</w:t>
      </w:r>
    </w:p>
    <w:p>
      <w:r>
        <w:rPr>
          <w:b/>
          <w:color w:val="1F4E5F"/>
          <w:sz w:val="25"/>
        </w:rPr>
        <w:t>The Case For</w:t>
      </w:r>
    </w:p>
    <w:p>
      <w:r>
        <w:t>The decisions that squeeze my district get made at the state level, the funding formula, the PERS pressure, the mandates without money. I spend my days managing symptoms of choices made upstream. A state board seat is the upstream. And the representation matters; there has never been someone like me in that room.</w:t>
      </w:r>
    </w:p>
    <w:p>
      <w:r>
        <w:rPr>
          <w:b/>
          <w:color w:val="1F4E5F"/>
          <w:sz w:val="25"/>
        </w:rPr>
        <w:t>The Case Against</w:t>
      </w:r>
    </w:p>
    <w:p>
      <w:r>
        <w:t>The timing is terrible. The budget shortfall runs through 2028, the bond campaign needs me present, and my contract runs through June 2028. Mika turns 14 that year and I already fear the job eats the hours that belong to my kids. A campaign would eat more. I have never wanted the title for its own sake.</w:t>
      </w:r>
    </w:p>
    <w:p>
      <w:r>
        <w:rPr>
          <w:b/>
          <w:color w:val="1F4E5F"/>
          <w:sz w:val="25"/>
        </w:rPr>
        <w:t>What I Actually Believe</w:t>
      </w:r>
    </w:p>
    <w:p>
      <w:r>
        <w:t>Earned authority over positional authority. If I run, it is because the work needs doing, not because the seat is impressive. Decision deferred until after the November 2026 grant deadline and the spring bond vote. Revisit summer 2027. Do not let the Alliance, or my own ego, rush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2026-10-01T09:00:00Z</dcterms:created>
  <dcterms:modified xsi:type="dcterms:W3CDTF">2026-10-01T09:00:00Z</dcterms:modified>
  <cp:category/>
</cp:coreProperties>
</file>