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2B2B"/>
          <w:sz w:val="30"/>
        </w:rPr>
        <w:t>Senior Tax-Prep Volunteer Procedures</w:t>
      </w:r>
    </w:p>
    <w:p>
      <w:r>
        <w:t>My working procedures for the tax-prep table at the Boca Raton Public Library. I helped shape these after the first season, when good intentions met disorganized paperwork. The goal is accurate returns and unhurried, respectful help for our senior filers.</w:t>
      </w:r>
    </w:p>
    <w:p>
      <w:r>
        <w:rPr>
          <w:color w:val="CCCCCC"/>
          <w:sz w:val="12"/>
        </w:rPr>
        <w:t>____________________________________________________________________________________________</w:t>
      </w:r>
    </w:p>
    <w:p>
      <w:r>
        <w:rPr>
          <w:b/>
          <w:color w:val="2B2B2B"/>
          <w:sz w:val="23"/>
        </w:rPr>
        <w:t>Before the Session</w:t>
      </w:r>
    </w:p>
    <w:p>
      <w:pPr>
        <w:pStyle w:val="ListNumber"/>
      </w:pPr>
      <w:r>
        <w:t>Confirm your slot with the volunteer coordinator for the week.</w:t>
      </w:r>
    </w:p>
    <w:p>
      <w:pPr>
        <w:pStyle w:val="ListNumber"/>
      </w:pPr>
      <w:r>
        <w:t>Review the program scope; we handle simple returns only.</w:t>
      </w:r>
    </w:p>
    <w:p>
      <w:pPr>
        <w:pStyle w:val="ListNumber"/>
      </w:pPr>
      <w:r>
        <w:t>Set up the table with intake forms, a calculator, and the reference binder.</w:t>
      </w:r>
    </w:p>
    <w:p>
      <w:r>
        <w:rPr>
          <w:b/>
          <w:color w:val="2B2B2B"/>
          <w:sz w:val="23"/>
        </w:rPr>
        <w:t>Intake and Identity</w:t>
      </w:r>
    </w:p>
    <w:p>
      <w:r>
        <w:t>Greet the filer, confirm photo identification and Social Security cards, and explain that the help is free and confidential. Collect the short intake form and read it before touching a single number. A filer who feels rushed makes mistakes, and so do we.</w:t>
      </w:r>
    </w:p>
    <w:p>
      <w:r>
        <w:rPr>
          <w:b/>
          <w:color w:val="2B2B2B"/>
          <w:sz w:val="23"/>
        </w:rPr>
        <w:t>Documents to Expect</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Form</w:t>
            </w:r>
          </w:p>
        </w:tc>
        <w:tc>
          <w:tcPr>
            <w:tcW w:type="dxa" w:w="4680"/>
          </w:tcPr>
          <w:p>
            <w:r/>
            <w:r>
              <w:rPr>
                <w:b/>
              </w:rPr>
              <w:t>What it reports</w:t>
            </w:r>
          </w:p>
        </w:tc>
      </w:tr>
      <w:tr>
        <w:tc>
          <w:tcPr>
            <w:tcW w:type="dxa" w:w="4680"/>
          </w:tcPr>
          <w:p>
            <w:r>
              <w:t>SSA-1099</w:t>
            </w:r>
          </w:p>
        </w:tc>
        <w:tc>
          <w:tcPr>
            <w:tcW w:type="dxa" w:w="4680"/>
          </w:tcPr>
          <w:p>
            <w:r>
              <w:t>Social Security benefits</w:t>
            </w:r>
          </w:p>
        </w:tc>
      </w:tr>
      <w:tr>
        <w:tc>
          <w:tcPr>
            <w:tcW w:type="dxa" w:w="4680"/>
          </w:tcPr>
          <w:p>
            <w:r>
              <w:t>1099-R</w:t>
            </w:r>
          </w:p>
        </w:tc>
        <w:tc>
          <w:tcPr>
            <w:tcW w:type="dxa" w:w="4680"/>
          </w:tcPr>
          <w:p>
            <w:r>
              <w:t>Pension and IRA distributions</w:t>
            </w:r>
          </w:p>
        </w:tc>
      </w:tr>
      <w:tr>
        <w:tc>
          <w:tcPr>
            <w:tcW w:type="dxa" w:w="4680"/>
          </w:tcPr>
          <w:p>
            <w:r>
              <w:t>1099-INT and 1099-DIV</w:t>
            </w:r>
          </w:p>
        </w:tc>
        <w:tc>
          <w:tcPr>
            <w:tcW w:type="dxa" w:w="4680"/>
          </w:tcPr>
          <w:p>
            <w:r>
              <w:t>Interest and dividends</w:t>
            </w:r>
          </w:p>
        </w:tc>
      </w:tr>
      <w:tr>
        <w:tc>
          <w:tcPr>
            <w:tcW w:type="dxa" w:w="4680"/>
          </w:tcPr>
          <w:p>
            <w:r>
              <w:t>Prior year return</w:t>
            </w:r>
          </w:p>
        </w:tc>
        <w:tc>
          <w:tcPr>
            <w:tcW w:type="dxa" w:w="4680"/>
          </w:tcPr>
          <w:p>
            <w:r>
              <w:t>Reference and carryforwards</w:t>
            </w:r>
          </w:p>
        </w:tc>
      </w:tr>
      <w:tr>
        <w:tc>
          <w:tcPr>
            <w:tcW w:type="dxa" w:w="4680"/>
          </w:tcPr>
          <w:p>
            <w:r>
              <w:t>Deduction records</w:t>
            </w:r>
          </w:p>
        </w:tc>
        <w:tc>
          <w:tcPr>
            <w:tcW w:type="dxa" w:w="4680"/>
          </w:tcPr>
          <w:p>
            <w:r>
              <w:t>Medical, charitable, property tax</w:t>
            </w:r>
          </w:p>
        </w:tc>
      </w:tr>
    </w:tbl>
    <w:p>
      <w:r>
        <w:rPr>
          <w:b/>
          <w:color w:val="2B2B2B"/>
          <w:sz w:val="23"/>
        </w:rPr>
        <w:t>Preparing the Return</w:t>
      </w:r>
    </w:p>
    <w:p>
      <w:pPr>
        <w:pStyle w:val="ListBullet"/>
      </w:pPr>
      <w:r>
        <w:t>Compare the standard deduction against itemizing; for most seniors the standard wins.</w:t>
      </w:r>
    </w:p>
    <w:p>
      <w:pPr>
        <w:pStyle w:val="ListBullet"/>
      </w:pPr>
      <w:r>
        <w:t>Check the taxable portion of Social Security carefully; it trips people up.</w:t>
      </w:r>
    </w:p>
    <w:p>
      <w:pPr>
        <w:pStyle w:val="ListBullet"/>
      </w:pPr>
      <w:r>
        <w:t>Confirm any required minimum distribution for older filers.</w:t>
      </w:r>
    </w:p>
    <w:p>
      <w:pPr>
        <w:pStyle w:val="ListBullet"/>
      </w:pPr>
      <w:r>
        <w:t>Review every figure twice, the way you would your own return.</w:t>
      </w:r>
    </w:p>
    <w:p>
      <w:r>
        <w:rPr>
          <w:b/>
          <w:color w:val="2B2B2B"/>
          <w:sz w:val="23"/>
        </w:rPr>
        <w:t>Quality Check and Privacy</w:t>
      </w:r>
    </w:p>
    <w:p>
      <w:r>
        <w:t>A second volunteer reviews before anything is finalized. Explain the result in plain language and answer questions without condescension. At the end of the session, shred all working notes and keep nothing with personal information. Confidentiality is the whole foundation of the table's trust.</w:t>
      </w:r>
    </w:p>
    <w:p>
      <w:r>
        <w:rPr>
          <w:b/>
          <w:color w:val="2B2B2B"/>
          <w:sz w:val="23"/>
        </w:rPr>
        <w:t>When to Refer Out</w:t>
      </w:r>
    </w:p>
    <w:p>
      <w:r>
        <w:t>Business income, rental property, complex investment sales, or anything outside the program scope goes to a paid preparer. There is no shame in a referral; a wrong return helps no one. Know the limits and stay inside them.</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5"/>
      </w:rPr>
      <w:t>Library volunteer procedures, tax season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