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B2B"/>
          <w:sz w:val="30"/>
        </w:rPr>
        <w:t>Letter to Sheila Ramos, Ahead of the Quarterly Review</w:t>
      </w:r>
    </w:p>
    <w:p>
      <w:r>
        <w:t>October 5, 2026</w:t>
      </w:r>
    </w:p>
    <w:p>
      <w:r>
        <w:t>Dear Sheila,</w:t>
      </w:r>
    </w:p>
    <w:p>
      <w:r>
        <w:t>Ahead of our October review, I have put my questions in writing so we use the call well. You know I read every statement twice and arrive with a list; this is that list, organized so neither of us wastes time.</w:t>
      </w:r>
    </w:p>
    <w:p>
      <w:r>
        <w:rPr>
          <w:b/>
          <w:color w:val="2B2B2B"/>
          <w:sz w:val="23"/>
        </w:rPr>
        <w:t>On the Allocation</w:t>
      </w:r>
    </w:p>
    <w:p>
      <w:r>
        <w:t>The portfolio ended the last quarter near six hundred twenty thousand, in line with the statement. With rates where they are, I want to talk about the bond and short-term treasury mix. I am not chasing yield, but I want to be sure the fixed income is working as hard as it safely can.</w:t>
      </w:r>
    </w:p>
    <w:p>
      <w:pPr>
        <w:pStyle w:val="ListBullet"/>
      </w:pPr>
      <w:r>
        <w:t>Is the current bond duration appropriate for the rate outlook?</w:t>
      </w:r>
    </w:p>
    <w:p>
      <w:pPr>
        <w:pStyle w:val="ListBullet"/>
      </w:pPr>
      <w:r>
        <w:t>Should any maturing treasury be reinvested or moved to cash?</w:t>
      </w:r>
    </w:p>
    <w:p>
      <w:pPr>
        <w:pStyle w:val="ListBullet"/>
      </w:pPr>
      <w:r>
        <w:t>Confirm the equity split between domestic and international still fits the plan.</w:t>
      </w:r>
    </w:p>
    <w:p>
      <w:r>
        <w:rPr>
          <w:b/>
          <w:color w:val="2B2B2B"/>
          <w:sz w:val="23"/>
        </w:rPr>
        <w:t>On Income and Cash</w:t>
      </w:r>
    </w:p>
    <w:p>
      <w:r>
        <w:t>The monthly fifteen hundred distribution is funding the household nicely and the budget has a comfortable buffer. With Rosa's family visiting in December and a possible trip to Philadelphia next year, I wonder whether the cash reserve should be a little larger for a season. Nothing dramatic, just a question.</w:t>
      </w:r>
    </w:p>
    <w:p>
      <w:r>
        <w:rPr>
          <w:b/>
          <w:color w:val="2B2B2B"/>
          <w:sz w:val="23"/>
        </w:rPr>
        <w:t>On Taxes and the Estate</w:t>
      </w:r>
    </w:p>
    <w:p>
      <w:pPr>
        <w:pStyle w:val="ListBullet"/>
      </w:pPr>
      <w:r>
        <w:t>Please confirm the withdrawal schedule still fits the tax picture for this year.</w:t>
      </w:r>
    </w:p>
    <w:p>
      <w:pPr>
        <w:pStyle w:val="ListBullet"/>
      </w:pPr>
      <w:r>
        <w:t>Verify the account beneficiary designations match the estate plan we updated last year.</w:t>
      </w:r>
    </w:p>
    <w:p>
      <w:pPr>
        <w:pStyle w:val="ListBullet"/>
      </w:pPr>
      <w:r>
        <w:t>Flag any year-end distribution or rebalancing that would have a tax consequence.</w:t>
      </w:r>
    </w:p>
    <w:p>
      <w:r>
        <w:rPr>
          <w:b/>
          <w:color w:val="2B2B2B"/>
          <w:sz w:val="23"/>
        </w:rPr>
        <w:t>Logistics</w:t>
      </w:r>
    </w:p>
    <w:p>
      <w:r>
        <w:t>Please send the review materials to the shared folder a few days ahead so I can read them twice, as is my habit. The October slot works; confirm the time and I will have my notes ready. I appreciate your patience with my lists.</w:t>
      </w:r>
    </w:p>
    <w:p>
      <w:r>
        <w:t>Warm regards,</w:t>
      </w:r>
    </w:p>
    <w:p>
      <w:r>
        <w:t>Clara Leon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5"/>
      </w:rPr>
      <w:t>Correspondence, financial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