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IRB Study Monthly Summary Report - November 2026</w:t>
      </w:r>
    </w:p>
    <w:p/>
    <w:p>
      <w:pPr>
        <w:pStyle w:val="Heading1"/>
      </w:pPr>
      <w:r>
        <w:t>Study</w:t>
      </w:r>
    </w:p>
    <w:p>
      <w:r>
        <w:t>Culturally Adapted Dietary Interventions for T2DM</w:t>
      </w:r>
    </w:p>
    <w:p>
      <w:pPr>
        <w:pStyle w:val="Heading1"/>
      </w:pPr>
      <w:r>
        <w:t>Enrollment Status</w:t>
      </w:r>
    </w:p>
    <w:p>
      <w:pPr>
        <w:pStyle w:val="ListBullet"/>
      </w:pPr>
      <w:r>
        <w:t>Target: 60 participants (30 intervention 30 control)</w:t>
      </w:r>
    </w:p>
    <w:p>
      <w:pPr>
        <w:pStyle w:val="ListBullet"/>
      </w:pPr>
      <w:r>
        <w:t>Currently enrolled: 12</w:t>
      </w:r>
    </w:p>
    <w:p>
      <w:pPr>
        <w:pStyle w:val="ListBullet"/>
      </w:pPr>
      <w:r>
        <w:t>Screening pipeline: 8 additional pending consent</w:t>
      </w:r>
    </w:p>
    <w:p>
      <w:pPr>
        <w:pStyle w:val="ListBullet"/>
      </w:pPr>
      <w:r>
        <w:t>Dropout rate: 0%</w:t>
      </w:r>
    </w:p>
    <w:p>
      <w:pPr>
        <w:pStyle w:val="Heading1"/>
      </w:pPr>
      <w:r>
        <w:t>Intervention Delivery</w:t>
      </w:r>
    </w:p>
    <w:p>
      <w:pPr>
        <w:pStyle w:val="ListBullet"/>
      </w:pPr>
      <w:r>
        <w:t>Sessions delivered this month: 18</w:t>
      </w:r>
    </w:p>
    <w:p>
      <w:pPr>
        <w:pStyle w:val="ListBullet"/>
      </w:pPr>
      <w:r>
        <w:t>Average session length: 52 minutes</w:t>
      </w:r>
    </w:p>
    <w:p>
      <w:pPr>
        <w:pStyle w:val="ListBullet"/>
      </w:pPr>
      <w:r>
        <w:t>Completion rate: 94%</w:t>
      </w:r>
    </w:p>
    <w:p>
      <w:pPr>
        <w:pStyle w:val="ListBullet"/>
      </w:pPr>
      <w:r>
        <w:t>Common topics: carbohydrate counting with traditional foods family meal adaptation</w:t>
      </w:r>
    </w:p>
    <w:p>
      <w:pPr>
        <w:pStyle w:val="Heading1"/>
      </w:pPr>
      <w:r>
        <w:t>Observations</w:t>
      </w:r>
    </w:p>
    <w:p>
      <w:pPr>
        <w:pStyle w:val="ListBullet"/>
      </w:pPr>
      <w:r>
        <w:t>Food insecurity in enrolled sample: 43%</w:t>
      </w:r>
    </w:p>
    <w:p>
      <w:pPr>
        <w:pStyle w:val="ListBullet"/>
      </w:pPr>
      <w:r>
        <w:t>Average baseline A1C: 8.7%</w:t>
      </w:r>
    </w:p>
    <w:p>
      <w:pPr>
        <w:pStyle w:val="ListBullet"/>
      </w:pPr>
      <w:r>
        <w:t>Engagement score: 8.2 out of 10</w:t>
      </w:r>
    </w:p>
    <w:p>
      <w:pPr>
        <w:pStyle w:val="ListBullet"/>
      </w:pPr>
      <w:r>
        <w:t>100% of intervention participants identified at least one traditional food they could retain</w:t>
      </w:r>
    </w:p>
    <w:p>
      <w:pPr>
        <w:pStyle w:val="Heading1"/>
      </w:pPr>
      <w:r>
        <w:t>Data Management</w:t>
      </w:r>
    </w:p>
    <w:p>
      <w:pPr>
        <w:pStyle w:val="ListBullet"/>
      </w:pPr>
      <w:r>
        <w:t>All data de-identified upon collection</w:t>
      </w:r>
    </w:p>
    <w:p>
      <w:pPr>
        <w:pStyle w:val="ListBullet"/>
      </w:pPr>
      <w:r>
        <w:t>Stored securely with Dr. Adler access</w:t>
      </w:r>
    </w:p>
    <w:p>
      <w:pPr>
        <w:pStyle w:val="ListBullet"/>
      </w:pPr>
      <w:r>
        <w:t>IRB consent forms in an e-signature service</w:t>
      </w:r>
    </w:p>
    <w:p>
      <w:pPr>
        <w:pStyle w:val="ListBullet"/>
      </w:pPr>
      <w:r>
        <w:t>No adverse events or protocol deviations</w:t>
      </w:r>
    </w:p>
    <w:p>
      <w:pPr>
        <w:pStyle w:val="Heading1"/>
      </w:pPr>
      <w:r>
        <w:t>Next Month Goals</w:t>
      </w:r>
    </w:p>
    <w:p>
      <w:pPr>
        <w:pStyle w:val="ListBullet"/>
      </w:pPr>
      <w:r>
        <w:t>Enroll 8 additional participants to reach n=20 by December end</w:t>
      </w:r>
    </w:p>
    <w:p>
      <w:pPr>
        <w:pStyle w:val="ListBullet"/>
      </w:pPr>
      <w:r>
        <w:t>Deliver 3-month follow-up sessions for first 8 participants</w:t>
      </w:r>
    </w:p>
    <w:p>
      <w:pPr>
        <w:pStyle w:val="ListBullet"/>
      </w:pPr>
      <w:r>
        <w:t>Prepare FNCE abstract draft for February 2027 deadline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IRB Study Monthly Summary Report - November 2026</dc:title>
  <dc:subject/>
  <dc:creator>Courtney Moore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