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1E"/>
          <w:sz w:val="24"/>
        </w:rPr>
        <w:t>Woodward Household</w:t>
      </w:r>
    </w:p>
    <w:p>
      <w:pPr>
        <w:pBdr>
          <w:bottom w:val="single" w:sz="6" w:space="4" w:color="7A2E1E"/>
        </w:pBdr>
      </w:pPr>
      <w:r>
        <w:rPr>
          <w:color w:val="6E675B"/>
          <w:sz w:val="17"/>
        </w:rPr>
        <w:t>Home care routine for Mum (Dorothy)</w:t>
      </w:r>
    </w:p>
    <w:p>
      <w:r>
        <w:rPr>
          <w:b/>
          <w:color w:val="23211E"/>
          <w:sz w:val="30"/>
        </w:rPr>
        <w:t>Weekly diabetes care routine</w:t>
      </w:r>
    </w:p>
    <w:p>
      <w:pPr>
        <w:jc w:val="both"/>
      </w:pPr>
      <w:r>
        <w:t>This is the standing routine for Mum's day to day diabetes care, written down so anyone helping out, Anne especially, can step in without missing a beat. It is not medical advice; it records what Dr. Reeves has set and what we actually do at home. The glucose numbers live in the household sheet coded X02 and the full medication list is in X08.</w:t>
      </w:r>
    </w:p>
    <w:p>
      <w:r>
        <w:rPr>
          <w:b/>
          <w:color w:val="7A2E1E"/>
          <w:sz w:val="22"/>
        </w:rPr>
        <w:t>Medications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Medication</w:t>
            </w:r>
          </w:p>
        </w:tc>
        <w:tc>
          <w:tcPr>
            <w:tcW w:type="dxa" w:w="3120"/>
          </w:tcPr>
          <w:p>
            <w:r>
              <w:rPr>
                <w:b/>
              </w:rPr>
              <w:t>Dose</w:t>
            </w:r>
          </w:p>
        </w:tc>
        <w:tc>
          <w:tcPr>
            <w:tcW w:type="dxa" w:w="3120"/>
          </w:tcPr>
          <w:p>
            <w:r>
              <w:rPr>
                <w:b/>
              </w:rPr>
              <w:t>When</w:t>
            </w:r>
          </w:p>
        </w:tc>
      </w:tr>
      <w:tr>
        <w:tc>
          <w:tcPr>
            <w:tcW w:type="dxa" w:w="3120"/>
          </w:tcPr>
          <w:p>
            <w:r>
              <w:t>Metformin</w:t>
            </w:r>
          </w:p>
        </w:tc>
        <w:tc>
          <w:tcPr>
            <w:tcW w:type="dxa" w:w="3120"/>
          </w:tcPr>
          <w:p>
            <w:r>
              <w:t>500 mg</w:t>
            </w:r>
          </w:p>
        </w:tc>
        <w:tc>
          <w:tcPr>
            <w:tcW w:type="dxa" w:w="3120"/>
          </w:tcPr>
          <w:p>
            <w:r>
              <w:t>twice daily with meals</w:t>
            </w:r>
          </w:p>
        </w:tc>
      </w:tr>
      <w:tr>
        <w:tc>
          <w:tcPr>
            <w:tcW w:type="dxa" w:w="3120"/>
          </w:tcPr>
          <w:p>
            <w:r>
              <w:t>Lisinopril</w:t>
            </w:r>
          </w:p>
        </w:tc>
        <w:tc>
          <w:tcPr>
            <w:tcW w:type="dxa" w:w="3120"/>
          </w:tcPr>
          <w:p>
            <w:r>
              <w:t>10 mg</w:t>
            </w:r>
          </w:p>
        </w:tc>
        <w:tc>
          <w:tcPr>
            <w:tcW w:type="dxa" w:w="3120"/>
          </w:tcPr>
          <w:p>
            <w:r>
              <w:t>once daily</w:t>
            </w:r>
          </w:p>
        </w:tc>
      </w:tr>
      <w:tr>
        <w:tc>
          <w:tcPr>
            <w:tcW w:type="dxa" w:w="3120"/>
          </w:tcPr>
          <w:p>
            <w:r>
              <w:t>Vitamin D3</w:t>
            </w:r>
          </w:p>
        </w:tc>
        <w:tc>
          <w:tcPr>
            <w:tcW w:type="dxa" w:w="3120"/>
          </w:tcPr>
          <w:p>
            <w:r>
              <w:t>2000 IU</w:t>
            </w:r>
          </w:p>
        </w:tc>
        <w:tc>
          <w:tcPr>
            <w:tcW w:type="dxa" w:w="3120"/>
          </w:tcPr>
          <w:p>
            <w:r>
              <w:t>once daily</w:t>
            </w:r>
          </w:p>
        </w:tc>
      </w:tr>
    </w:tbl>
    <w:p>
      <w:pPr>
        <w:jc w:val="both"/>
      </w:pPr>
      <w:r>
        <w:t>Pills are set in the weekly organizer every Sunday evening. Metformin is taken with food to avoid an upset stomach. If a dose is missed, take it when remembered unless it is almost time for the next one; never double up.</w:t>
      </w:r>
    </w:p>
    <w:p>
      <w:r>
        <w:rPr>
          <w:b/>
          <w:color w:val="7A2E1E"/>
          <w:sz w:val="22"/>
        </w:rPr>
        <w:t>Fasting glucose checks</w:t>
      </w:r>
    </w:p>
    <w:p>
      <w:pPr>
        <w:jc w:val="both"/>
      </w:pPr>
      <w:r>
        <w:t>Mum checks her fasting glucose on Mondays, Wednesdays, and Fridays, first thing, before she eats or drinks anything but water. The steps:</w:t>
      </w:r>
    </w:p>
    <w:p>
      <w:pPr>
        <w:pStyle w:val="ListBullet"/>
      </w:pPr>
      <w:r>
        <w:t>Wash and dry hands with warm water.</w:t>
      </w:r>
    </w:p>
    <w:p>
      <w:pPr>
        <w:pStyle w:val="ListBullet"/>
      </w:pPr>
      <w:r>
        <w:t>Use a fresh lancet and a new test strip.</w:t>
      </w:r>
    </w:p>
    <w:p>
      <w:pPr>
        <w:pStyle w:val="ListBullet"/>
      </w:pPr>
      <w:r>
        <w:t>Prick the side of a fingertip, not the pad.</w:t>
      </w:r>
    </w:p>
    <w:p>
      <w:pPr>
        <w:pStyle w:val="ListBullet"/>
      </w:pPr>
      <w:r>
        <w:t>Record the number and the date in the sheet before breakfast.</w:t>
      </w:r>
    </w:p>
    <w:p>
      <w:pPr>
        <w:pStyle w:val="ListBullet"/>
      </w:pPr>
      <w:r>
        <w:t>Note anything unusual, a cold, a late heavy dinner, a skipped walk.</w:t>
      </w:r>
    </w:p>
    <w:p>
      <w:pPr>
        <w:jc w:val="both"/>
      </w:pPr>
      <w:r>
        <w:t>Target fasting is under one hundred thirty. Readings have been running in the low to mid one forties, which is why Dr. Reeves wants us to tighten up. If a fasting reading is over two hundred and fifty twice in a row, or under seventy with symptoms, call the clinic.</w:t>
      </w:r>
    </w:p>
    <w:p>
      <w:r>
        <w:rPr>
          <w:b/>
          <w:color w:val="7A2E1E"/>
          <w:sz w:val="22"/>
        </w:rPr>
        <w:t>Weekly foot check</w:t>
      </w:r>
    </w:p>
    <w:p>
      <w:pPr>
        <w:jc w:val="both"/>
      </w:pPr>
      <w:r>
        <w:t>Every weekend, look over both feet in good light. Early neuropathy means small problems can go unnoticed.</w:t>
      </w:r>
    </w:p>
    <w:p>
      <w:pPr>
        <w:pStyle w:val="ListBullet"/>
      </w:pPr>
      <w:r>
        <w:t>Check between the toes and on the soles for cuts, blisters, or redness.</w:t>
      </w:r>
    </w:p>
    <w:p>
      <w:pPr>
        <w:pStyle w:val="ListBullet"/>
      </w:pPr>
      <w:r>
        <w:t>Look for any area that is warm, swollen, or discolored.</w:t>
      </w:r>
    </w:p>
    <w:p>
      <w:pPr>
        <w:pStyle w:val="ListBullet"/>
      </w:pPr>
      <w:r>
        <w:t>Moisturize the tops and bottoms, not between the toes.</w:t>
      </w:r>
    </w:p>
    <w:p>
      <w:pPr>
        <w:pStyle w:val="ListBullet"/>
      </w:pPr>
      <w:r>
        <w:t>Make sure nails are trimmed straight across.</w:t>
      </w:r>
    </w:p>
    <w:p>
      <w:pPr>
        <w:pStyle w:val="ListBullet"/>
      </w:pPr>
      <w:r>
        <w:t>Call the clinic for any sore that does not start healing within a few days.</w:t>
      </w:r>
    </w:p>
    <w:p>
      <w:r>
        <w:rPr>
          <w:b/>
          <w:color w:val="7A2E1E"/>
          <w:sz w:val="22"/>
        </w:rPr>
        <w:t>Meals and movement</w:t>
      </w:r>
    </w:p>
    <w:p>
      <w:pPr>
        <w:jc w:val="both"/>
      </w:pPr>
      <w:r>
        <w:t>We cook plain and balanced. Mum loves her shepherd's pie, so we keep the portion reasonable and load the plate with vegetables. The biggest lever is walking. A short walk after dinner, even ten minutes, helps the next morning's number. Anne walking with her on Sundays does more than any reminder from me.</w:t>
      </w:r>
    </w:p>
    <w:p>
      <w:r>
        <w:rPr>
          <w:b/>
          <w:color w:val="7A2E1E"/>
          <w:sz w:val="22"/>
        </w:rPr>
        <w:t>Appointments and reviews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Visit</w:t>
            </w:r>
          </w:p>
        </w:tc>
        <w:tc>
          <w:tcPr>
            <w:tcW w:type="dxa" w:w="2340"/>
          </w:tcPr>
          <w:p>
            <w:r>
              <w:rPr>
                <w:b/>
              </w:rPr>
              <w:t>Provider</w:t>
            </w:r>
          </w:p>
        </w:tc>
        <w:tc>
          <w:tcPr>
            <w:tcW w:type="dxa" w:w="2340"/>
          </w:tcPr>
          <w:p>
            <w:r>
              <w:rPr>
                <w:b/>
              </w:rPr>
              <w:t>Cadence</w:t>
            </w:r>
          </w:p>
        </w:tc>
        <w:tc>
          <w:tcPr>
            <w:tcW w:type="dxa" w:w="2340"/>
          </w:tcPr>
          <w:p>
            <w:r>
              <w:rPr>
                <w:b/>
              </w:rPr>
              <w:t>Next</w:t>
            </w:r>
          </w:p>
        </w:tc>
      </w:tr>
      <w:tr>
        <w:tc>
          <w:tcPr>
            <w:tcW w:type="dxa" w:w="2340"/>
          </w:tcPr>
          <w:p>
            <w:r>
              <w:t>A1C and review</w:t>
            </w:r>
          </w:p>
        </w:tc>
        <w:tc>
          <w:tcPr>
            <w:tcW w:type="dxa" w:w="2340"/>
          </w:tcPr>
          <w:p>
            <w:r>
              <w:t>Dr. Caroline Reeves</w:t>
            </w:r>
          </w:p>
        </w:tc>
        <w:tc>
          <w:tcPr>
            <w:tcW w:type="dxa" w:w="2340"/>
          </w:tcPr>
          <w:p>
            <w:r>
              <w:t>Quarterly</w:t>
            </w:r>
          </w:p>
        </w:tc>
        <w:tc>
          <w:tcPr>
            <w:tcW w:type="dxa" w:w="2340"/>
          </w:tcPr>
          <w:p>
            <w:r>
              <w:t>After September cycle</w:t>
            </w:r>
          </w:p>
        </w:tc>
      </w:tr>
      <w:tr>
        <w:tc>
          <w:tcPr>
            <w:tcW w:type="dxa" w:w="2340"/>
          </w:tcPr>
          <w:p>
            <w:r>
              <w:t>Diabetic eye exam</w:t>
            </w:r>
          </w:p>
        </w:tc>
        <w:tc>
          <w:tcPr>
            <w:tcW w:type="dxa" w:w="2340"/>
          </w:tcPr>
          <w:p>
            <w:r>
              <w:t>Silver Spring Eye Care</w:t>
            </w:r>
          </w:p>
        </w:tc>
        <w:tc>
          <w:tcPr>
            <w:tcW w:type="dxa" w:w="2340"/>
          </w:tcPr>
          <w:p>
            <w:r>
              <w:t>Annual</w:t>
            </w:r>
          </w:p>
        </w:tc>
        <w:tc>
          <w:tcPr>
            <w:tcW w:type="dxa" w:w="2340"/>
          </w:tcPr>
          <w:p>
            <w:r>
              <w:t>Fall</w:t>
            </w:r>
          </w:p>
        </w:tc>
      </w:tr>
      <w:tr>
        <w:tc>
          <w:tcPr>
            <w:tcW w:type="dxa" w:w="2340"/>
          </w:tcPr>
          <w:p>
            <w:r>
              <w:t>Foot check (home)</w:t>
            </w:r>
          </w:p>
        </w:tc>
        <w:tc>
          <w:tcPr>
            <w:tcW w:type="dxa" w:w="2340"/>
          </w:tcPr>
          <w:p>
            <w:r>
              <w:t>Ian Woodward</w:t>
            </w:r>
          </w:p>
        </w:tc>
        <w:tc>
          <w:tcPr>
            <w:tcW w:type="dxa" w:w="2340"/>
          </w:tcPr>
          <w:p>
            <w:r>
              <w:t>Weekly</w:t>
            </w:r>
          </w:p>
        </w:tc>
        <w:tc>
          <w:tcPr>
            <w:tcW w:type="dxa" w:w="2340"/>
          </w:tcPr>
          <w:p>
            <w:r>
              <w:t>Ongoing</w:t>
            </w:r>
          </w:p>
        </w:tc>
      </w:tr>
      <w:tr>
        <w:tc>
          <w:tcPr>
            <w:tcW w:type="dxa" w:w="2340"/>
          </w:tcPr>
          <w:p>
            <w:r>
              <w:t>Blood pressure (home)</w:t>
            </w:r>
          </w:p>
        </w:tc>
        <w:tc>
          <w:tcPr>
            <w:tcW w:type="dxa" w:w="2340"/>
          </w:tcPr>
          <w:p>
            <w:r>
              <w:t>Ian Woodward</w:t>
            </w:r>
          </w:p>
        </w:tc>
        <w:tc>
          <w:tcPr>
            <w:tcW w:type="dxa" w:w="2340"/>
          </w:tcPr>
          <w:p>
            <w:r>
              <w:t>Weekly</w:t>
            </w:r>
          </w:p>
        </w:tc>
        <w:tc>
          <w:tcPr>
            <w:tcW w:type="dxa" w:w="2340"/>
          </w:tcPr>
          <w:p>
            <w:r>
              <w:t>Ongoing</w:t>
            </w:r>
          </w:p>
        </w:tc>
      </w:tr>
    </w:tbl>
    <w:p>
      <w:r>
        <w:rPr>
          <w:b/>
          <w:color w:val="7A2E1E"/>
          <w:sz w:val="22"/>
        </w:rPr>
        <w:t>If I am unreachable</w:t>
      </w:r>
    </w:p>
    <w:p>
      <w:pPr>
        <w:jc w:val="both"/>
      </w:pPr>
      <w:r>
        <w:t>Anne is the emergency contact and decision maker for Mum and for me. Her number is (703) 555-0167. The endocrinologist is Dr. Caroline Reeves at Community Clinic Inc., Takoma Park. Mum's own number is (301) 555-0189. Keep this page on the fridge so it is there when it is needed.</w:t>
      </w:r>
    </w:p>
    <w:p>
      <w:pPr>
        <w:jc w:val="both"/>
      </w:pPr>
      <w:r>
        <w:t>The point of all this is simple. Mum took care of us on factory and cleaning wages for twenty years. This is how we take care of her now, quietly and well.</w:t>
      </w:r>
    </w:p>
    <w:p>
      <w:r>
        <w:rPr>
          <w:b/>
          <w:color w:val="7A2E1E"/>
          <w:sz w:val="22"/>
        </w:rPr>
        <w:t>Warning signs to act on</w:t>
      </w:r>
    </w:p>
    <w:p>
      <w:pPr>
        <w:jc w:val="both"/>
      </w:pPr>
      <w:r>
        <w:t>Most days are routine. These are the things that mean call the clinic or, if it is bad, call for help right away. I am writing them out so nobody has to guess in the moment.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Sign</w:t>
            </w:r>
          </w:p>
        </w:tc>
        <w:tc>
          <w:tcPr>
            <w:tcW w:type="dxa" w:w="3120"/>
          </w:tcPr>
          <w:p>
            <w:r>
              <w:rPr>
                <w:b/>
              </w:rPr>
              <w:t>What it may mean</w:t>
            </w:r>
          </w:p>
        </w:tc>
        <w:tc>
          <w:tcPr>
            <w:tcW w:type="dxa" w:w="3120"/>
          </w:tcPr>
          <w:p>
            <w:r>
              <w:rPr>
                <w:b/>
              </w:rPr>
              <w:t>What to do</w:t>
            </w:r>
          </w:p>
        </w:tc>
      </w:tr>
      <w:tr>
        <w:tc>
          <w:tcPr>
            <w:tcW w:type="dxa" w:w="3120"/>
          </w:tcPr>
          <w:p>
            <w:r>
              <w:t>Fasting over 250 twice</w:t>
            </w:r>
          </w:p>
        </w:tc>
        <w:tc>
          <w:tcPr>
            <w:tcW w:type="dxa" w:w="3120"/>
          </w:tcPr>
          <w:p>
            <w:r>
              <w:t>Glucose poorly controlled</w:t>
            </w:r>
          </w:p>
        </w:tc>
        <w:tc>
          <w:tcPr>
            <w:tcW w:type="dxa" w:w="3120"/>
          </w:tcPr>
          <w:p>
            <w:r>
              <w:t>Call Dr. Reeves' office</w:t>
            </w:r>
          </w:p>
        </w:tc>
      </w:tr>
      <w:tr>
        <w:tc>
          <w:tcPr>
            <w:tcW w:type="dxa" w:w="3120"/>
          </w:tcPr>
          <w:p>
            <w:r>
              <w:t>Reading under 70 with shakiness</w:t>
            </w:r>
          </w:p>
        </w:tc>
        <w:tc>
          <w:tcPr>
            <w:tcW w:type="dxa" w:w="3120"/>
          </w:tcPr>
          <w:p>
            <w:r>
              <w:t>Low blood sugar</w:t>
            </w:r>
          </w:p>
        </w:tc>
        <w:tc>
          <w:tcPr>
            <w:tcW w:type="dxa" w:w="3120"/>
          </w:tcPr>
          <w:p>
            <w:r>
              <w:t>Give juice, recheck in 15 minutes</w:t>
            </w:r>
          </w:p>
        </w:tc>
      </w:tr>
      <w:tr>
        <w:tc>
          <w:tcPr>
            <w:tcW w:type="dxa" w:w="3120"/>
          </w:tcPr>
          <w:p>
            <w:r>
              <w:t>A foot sore not healing</w:t>
            </w:r>
          </w:p>
        </w:tc>
        <w:tc>
          <w:tcPr>
            <w:tcW w:type="dxa" w:w="3120"/>
          </w:tcPr>
          <w:p>
            <w:r>
              <w:t>Infection risk</w:t>
            </w:r>
          </w:p>
        </w:tc>
        <w:tc>
          <w:tcPr>
            <w:tcW w:type="dxa" w:w="3120"/>
          </w:tcPr>
          <w:p>
            <w:r>
              <w:t>Call the clinic within a day</w:t>
            </w:r>
          </w:p>
        </w:tc>
      </w:tr>
      <w:tr>
        <w:tc>
          <w:tcPr>
            <w:tcW w:type="dxa" w:w="3120"/>
          </w:tcPr>
          <w:p>
            <w:r>
              <w:t>Confusion or fainting</w:t>
            </w:r>
          </w:p>
        </w:tc>
        <w:tc>
          <w:tcPr>
            <w:tcW w:type="dxa" w:w="3120"/>
          </w:tcPr>
          <w:p>
            <w:r>
              <w:t>Urgent</w:t>
            </w:r>
          </w:p>
        </w:tc>
        <w:tc>
          <w:tcPr>
            <w:tcW w:type="dxa" w:w="3120"/>
          </w:tcPr>
          <w:p>
            <w:r>
              <w:t>Call for emergency help</w:t>
            </w:r>
          </w:p>
        </w:tc>
      </w:tr>
      <w:tr>
        <w:tc>
          <w:tcPr>
            <w:tcW w:type="dxa" w:w="3120"/>
          </w:tcPr>
          <w:p>
            <w:r>
              <w:t>Chest pain or trouble breathing</w:t>
            </w:r>
          </w:p>
        </w:tc>
        <w:tc>
          <w:tcPr>
            <w:tcW w:type="dxa" w:w="3120"/>
          </w:tcPr>
          <w:p>
            <w:r>
              <w:t>Urgent</w:t>
            </w:r>
          </w:p>
        </w:tc>
        <w:tc>
          <w:tcPr>
            <w:tcW w:type="dxa" w:w="3120"/>
          </w:tcPr>
          <w:p>
            <w:r>
              <w:t>Call for emergency help</w:t>
            </w:r>
          </w:p>
        </w:tc>
      </w:tr>
    </w:tbl>
    <w:p>
      <w:r>
        <w:rPr>
          <w:b/>
          <w:color w:val="7A2E1E"/>
          <w:sz w:val="22"/>
        </w:rPr>
        <w:t>Low blood sugar, the fast rule</w:t>
      </w:r>
    </w:p>
    <w:p>
      <w:pPr>
        <w:jc w:val="both"/>
      </w:pPr>
      <w:r>
        <w:t>If she is shaky, sweaty, or suddenly confused and a reading is low, the rule is fifteen and fifteen: fifteen grams of fast sugar, which is about half a cup of juice or a few glucose tablets, then wait fifteen minutes and check again. Repeat if it is still low. Once it comes up, a small snack with protein holds it. We keep juice boxes in the door of the fridge for exactly this.</w:t>
      </w:r>
    </w:p>
    <w:p>
      <w:r>
        <w:rPr>
          <w:b/>
          <w:color w:val="7A2E1E"/>
          <w:sz w:val="22"/>
        </w:rPr>
        <w:t>Supplies and where they live</w:t>
      </w:r>
    </w:p>
    <w:p>
      <w:pPr>
        <w:pStyle w:val="ListBullet"/>
      </w:pPr>
      <w:r>
        <w:t>Glucose meter, strips, and lancets in the kitchen drawer by the window.</w:t>
      </w:r>
    </w:p>
    <w:p>
      <w:pPr>
        <w:pStyle w:val="ListBullet"/>
      </w:pPr>
      <w:r>
        <w:t>Weekly pill organizer on the counter, filled Sunday evenings.</w:t>
      </w:r>
    </w:p>
    <w:p>
      <w:pPr>
        <w:pStyle w:val="ListBullet"/>
      </w:pPr>
      <w:r>
        <w:t>Juice boxes in the fridge door for low readings.</w:t>
      </w:r>
    </w:p>
    <w:p>
      <w:pPr>
        <w:pStyle w:val="ListBullet"/>
      </w:pPr>
      <w:r>
        <w:t>The fasting log is in the household sheet; a paper backup is on the fridge.</w:t>
      </w:r>
    </w:p>
    <w:p>
      <w:pPr>
        <w:pStyle w:val="ListBullet"/>
      </w:pPr>
      <w:r>
        <w:t>Spare strips and a backup meter in the bathroom cabinet on Mum's side.</w:t>
      </w:r>
    </w:p>
    <w:p>
      <w:r>
        <w:rPr>
          <w:b/>
          <w:color w:val="7A2E1E"/>
          <w:sz w:val="22"/>
        </w:rPr>
        <w:t>A word on Mum</w:t>
      </w:r>
    </w:p>
    <w:p>
      <w:pPr>
        <w:jc w:val="both"/>
      </w:pPr>
      <w:r>
        <w:t>She feels fine, so she does not always believe how much this matters, and she will wave off a fuss. Do not argue the science with her; she lived harder things than a glucose reading. Just keep the routine steady and walk with her when you can. Steady beats strict with Mum, every time.</w:t>
      </w:r>
    </w:p>
    <w:p>
      <w:r>
        <w:rPr>
          <w:b/>
          <w:color w:val="7A2E1E"/>
          <w:sz w:val="22"/>
        </w:rPr>
        <w:t>Cooking for her numbers without a fuss</w:t>
      </w:r>
    </w:p>
    <w:p>
      <w:pPr>
        <w:jc w:val="both"/>
      </w:pPr>
      <w:r>
        <w:t>The kitchen does more for Mum's glucose than any reminder. The trick is to change the plate quietly, not to announce a diet. Half the plate vegetables, a sensible portion of the shepherd's pie she loves, and a short walk after dinner. I keep her favorites; I just balance them.</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Swap</w:t>
            </w:r>
          </w:p>
        </w:tc>
        <w:tc>
          <w:tcPr>
            <w:tcW w:type="dxa" w:w="3120"/>
          </w:tcPr>
          <w:p>
            <w:r>
              <w:rPr>
                <w:b/>
              </w:rPr>
              <w:t>Instead of</w:t>
            </w:r>
          </w:p>
        </w:tc>
        <w:tc>
          <w:tcPr>
            <w:tcW w:type="dxa" w:w="3120"/>
          </w:tcPr>
          <w:p>
            <w:r>
              <w:rPr>
                <w:b/>
              </w:rPr>
              <w:t>Why</w:t>
            </w:r>
          </w:p>
        </w:tc>
      </w:tr>
      <w:tr>
        <w:tc>
          <w:tcPr>
            <w:tcW w:type="dxa" w:w="3120"/>
          </w:tcPr>
          <w:p>
            <w:r>
              <w:t>Brown rice or extra veg</w:t>
            </w:r>
          </w:p>
        </w:tc>
        <w:tc>
          <w:tcPr>
            <w:tcW w:type="dxa" w:w="3120"/>
          </w:tcPr>
          <w:p>
            <w:r>
              <w:t>A second helping of potato</w:t>
            </w:r>
          </w:p>
        </w:tc>
        <w:tc>
          <w:tcPr>
            <w:tcW w:type="dxa" w:w="3120"/>
          </w:tcPr>
          <w:p>
            <w:r>
              <w:t>Slower rise in glucose</w:t>
            </w:r>
          </w:p>
        </w:tc>
      </w:tr>
      <w:tr>
        <w:tc>
          <w:tcPr>
            <w:tcW w:type="dxa" w:w="3120"/>
          </w:tcPr>
          <w:p>
            <w:r>
              <w:t>Water or unsweet tea</w:t>
            </w:r>
          </w:p>
        </w:tc>
        <w:tc>
          <w:tcPr>
            <w:tcW w:type="dxa" w:w="3120"/>
          </w:tcPr>
          <w:p>
            <w:r>
              <w:t>Juice with dinner</w:t>
            </w:r>
          </w:p>
        </w:tc>
        <w:tc>
          <w:tcPr>
            <w:tcW w:type="dxa" w:w="3120"/>
          </w:tcPr>
          <w:p>
            <w:r>
              <w:t>Less sugar load</w:t>
            </w:r>
          </w:p>
        </w:tc>
      </w:tr>
      <w:tr>
        <w:tc>
          <w:tcPr>
            <w:tcW w:type="dxa" w:w="3120"/>
          </w:tcPr>
          <w:p>
            <w:r>
              <w:t>Fruit for dessert</w:t>
            </w:r>
          </w:p>
        </w:tc>
        <w:tc>
          <w:tcPr>
            <w:tcW w:type="dxa" w:w="3120"/>
          </w:tcPr>
          <w:p>
            <w:r>
              <w:t>A sweet most nights</w:t>
            </w:r>
          </w:p>
        </w:tc>
        <w:tc>
          <w:tcPr>
            <w:tcW w:type="dxa" w:w="3120"/>
          </w:tcPr>
          <w:p>
            <w:r>
              <w:t>Keeps the treat occasional</w:t>
            </w:r>
          </w:p>
        </w:tc>
      </w:tr>
      <w:tr>
        <w:tc>
          <w:tcPr>
            <w:tcW w:type="dxa" w:w="3120"/>
          </w:tcPr>
          <w:p>
            <w:r>
              <w:t>A short evening walk</w:t>
            </w:r>
          </w:p>
        </w:tc>
        <w:tc>
          <w:tcPr>
            <w:tcW w:type="dxa" w:w="3120"/>
          </w:tcPr>
          <w:p>
            <w:r>
              <w:t>Straight to the couch</w:t>
            </w:r>
          </w:p>
        </w:tc>
        <w:tc>
          <w:tcPr>
            <w:tcW w:type="dxa" w:w="3120"/>
          </w:tcPr>
          <w:p>
            <w:r>
              <w:t>Lowers the morning number</w:t>
            </w:r>
          </w:p>
        </w:tc>
      </w:tr>
    </w:tbl>
    <w:p>
      <w:pPr>
        <w:jc w:val="both"/>
      </w:pPr>
      <w:r>
        <w:t>She will still have her cake on her birthday and her shepherd's pie on a Sunday, and she should. This is about the everyday, not the celebrations. A steady, balanced week with a walk in it does more than a strict week she resents and abandons.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75B"/>
        <w:sz w:val="15"/>
      </w:rPr>
      <w:t>Home care routine, Dorothy Woodward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