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val="0"/>
          <w:i/>
          <w:sz w:val="20"/>
        </w:rPr>
        <w:t>WORKING DRAFT, not for circulation</w:t>
      </w:r>
    </w:p>
    <w:p>
      <w:pPr>
        <w:spacing w:after="240"/>
      </w:pPr>
      <w:r>
        <w:rPr>
          <w:b w:val="0"/>
          <w:i/>
          <w:sz w:val="20"/>
        </w:rPr>
        <w:t>Version 4, last revised February 22, 2026</w:t>
      </w:r>
    </w:p>
    <w:p>
      <w:pPr>
        <w:spacing w:before="200" w:after="80"/>
      </w:pPr>
      <w:r>
        <w:rPr>
          <w:b/>
          <w:color w:val="1F384D"/>
          <w:sz w:val="30"/>
        </w:rPr>
        <w:t>Tension and Memory: Backstrap Weaving Structures in the Central Valleys of Oaxaca</w:t>
      </w:r>
    </w:p>
    <w:p>
      <w:pPr>
        <w:spacing w:after="240"/>
      </w:pPr>
      <w:r>
        <w:rPr>
          <w:b w:val="0"/>
          <w:i/>
          <w:sz w:val="22"/>
        </w:rPr>
        <w:t>Jesse Perez, Perez Textile Conservation</w:t>
      </w:r>
    </w:p>
    <w:p>
      <w:pPr>
        <w:spacing w:before="200" w:after="80"/>
      </w:pPr>
      <w:r>
        <w:rPr>
          <w:b/>
          <w:color w:val="1F384D"/>
          <w:sz w:val="30"/>
        </w:rPr>
        <w:t>Abstract</w:t>
      </w:r>
    </w:p>
    <w:p>
      <w:pPr>
        <w:spacing w:after="120"/>
      </w:pPr>
      <w:r>
        <w:rPr>
          <w:b w:val="0"/>
          <w:i w:val="0"/>
          <w:sz w:val="22"/>
        </w:rPr>
        <w:t>This essay reads the backstrap loom not as a primitive precursor to the treadle loom but as a deliberate structural choice that encodes the weaver's body into the cloth. Drawing on fieldwork in the central valleys and on objects examined in conservation, I argue that tension control, the most personal variable in handweaving, leaves a legible signature that survives in the finished textile and that conservators should learn to read before they intervene.</w:t>
      </w:r>
    </w:p>
    <w:p>
      <w:pPr>
        <w:spacing w:before="200" w:after="80"/>
      </w:pPr>
      <w:r>
        <w:rPr>
          <w:b/>
          <w:color w:val="1F384D"/>
          <w:sz w:val="30"/>
        </w:rPr>
        <w:t>1. The body in the loom</w:t>
      </w:r>
    </w:p>
    <w:p>
      <w:pPr>
        <w:spacing w:after="120"/>
      </w:pPr>
      <w:r>
        <w:rPr>
          <w:b w:val="0"/>
          <w:i w:val="0"/>
          <w:sz w:val="22"/>
        </w:rPr>
        <w:t>The backstrap loom has no fixed frame. The far beam is tied to a post or a tree, the near beam to a strap across the weaver's lower back. Tension is the weaver. Every lean forward and back changes the shed, and the cloth records that rhythm in slight variations of beat and density. I have measured these variations in nineteenth century pieces and found them consistent within a single weaver and distinct between hands.</w:t>
      </w:r>
    </w:p>
    <w:p>
      <w:pPr>
        <w:spacing w:after="120"/>
      </w:pPr>
      <w:r>
        <w:rPr>
          <w:b w:val="0"/>
          <w:i w:val="0"/>
          <w:sz w:val="22"/>
        </w:rPr>
        <w:t>Note to self: pull the density measurements from the Hartwell piece (project PTC-2025-014) once consolidation is complete. The selvage data there is the cleanest I have on file.</w:t>
      </w:r>
    </w:p>
    <w:p>
      <w:pPr>
        <w:spacing w:before="200" w:after="80"/>
      </w:pPr>
      <w:r>
        <w:rPr>
          <w:b/>
          <w:color w:val="1F384D"/>
          <w:sz w:val="30"/>
        </w:rPr>
        <w:t>2. Why this matters for conservation</w:t>
      </w:r>
    </w:p>
    <w:p>
      <w:pPr>
        <w:spacing w:after="120"/>
      </w:pPr>
      <w:r>
        <w:rPr>
          <w:b w:val="0"/>
          <w:i w:val="0"/>
          <w:sz w:val="22"/>
        </w:rPr>
        <w:t>When we humidify and realign a distorted handwoven textile, we risk flattening exactly the evidence that tells us how it was made. The argument for minimal intervention here is not only ethical, it is evidentiary. We are custodians of a record, and the record includes the irregularities.</w:t>
      </w:r>
    </w:p>
    <w:p>
      <w:pPr>
        <w:spacing w:after="120"/>
      </w:pPr>
      <w:r>
        <w:rPr>
          <w:b w:val="0"/>
          <w:i/>
          <w:sz w:val="22"/>
        </w:rPr>
        <w:t>Section three, still to be written, will address cochineal and indigo in the valley palette. I want to cross check Boone and Pasztory, and ask Amina whether the Ottoman couching comparison holds.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