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2"/>
        </w:rPr>
        <w:t>Perez Textile Conservation</w:t>
      </w:r>
    </w:p>
    <w:p>
      <w:pPr>
        <w:spacing w:after="280"/>
      </w:pPr>
      <w:r>
        <w:rPr>
          <w:b w:val="0"/>
          <w:i w:val="0"/>
          <w:sz w:val="18"/>
        </w:rPr>
        <w:t>47 Pond Street (Ground Floor Studio), Jamaica Plain, MA 02130  |  (617) 555-3800</w:t>
      </w:r>
    </w:p>
    <w:p>
      <w:pPr>
        <w:spacing w:before="200" w:after="80"/>
      </w:pPr>
      <w:r>
        <w:rPr>
          <w:b/>
          <w:color w:val="1F384D"/>
          <w:sz w:val="32"/>
        </w:rPr>
        <w:t>TREATMENT PLAN AND PROPOSAL</w:t>
      </w:r>
    </w:p>
    <w:p>
      <w:pPr>
        <w:spacing w:after="40"/>
      </w:pPr>
      <w:r>
        <w:rPr>
          <w:b w:val="0"/>
          <w:i w:val="0"/>
          <w:sz w:val="22"/>
        </w:rPr>
        <w:t>Collection: Twenty two American needlework samplers, 1750 to 1850</w:t>
      </w:r>
    </w:p>
    <w:p>
      <w:pPr>
        <w:spacing w:after="40"/>
      </w:pPr>
      <w:r>
        <w:rPr>
          <w:b w:val="0"/>
          <w:i w:val="0"/>
          <w:sz w:val="22"/>
        </w:rPr>
        <w:t>Client: Claire Pemberton, Curator of American Decorative Arts, Peabody Essex Museum</w:t>
      </w:r>
    </w:p>
    <w:p>
      <w:pPr>
        <w:spacing w:after="40"/>
      </w:pPr>
      <w:r>
        <w:rPr>
          <w:b w:val="0"/>
          <w:i w:val="0"/>
          <w:sz w:val="22"/>
        </w:rPr>
        <w:t>Studio project number: PTC-2025-008     Plan date: February 5, 2026</w:t>
      </w:r>
    </w:p>
    <w:p>
      <w:pPr>
        <w:spacing w:after="160"/>
      </w:pPr>
      <w:r>
        <w:rPr>
          <w:b w:val="0"/>
          <w:i w:val="0"/>
          <w:sz w:val="22"/>
        </w:rPr>
        <w:t>Companion document: PEM Sampler Condition Survey (delivered January 30, 2026)</w:t>
      </w:r>
    </w:p>
    <w:p>
      <w:pPr>
        <w:spacing w:before="200" w:after="80"/>
      </w:pPr>
      <w:r>
        <w:rPr>
          <w:b/>
          <w:color w:val="1F384D"/>
          <w:sz w:val="30"/>
        </w:rPr>
        <w:t>1. Scope</w:t>
      </w:r>
    </w:p>
    <w:p>
      <w:pPr>
        <w:spacing w:after="120"/>
      </w:pPr>
      <w:r>
        <w:rPr>
          <w:b w:val="0"/>
          <w:i w:val="0"/>
          <w:sz w:val="22"/>
        </w:rPr>
        <w:t>Following the condition survey of the twenty two samplers, this plan groups the collection into three treatment tiers and sets a sequence that allows the most fragile pieces to be stabilized first. The full written survey report is due to the Peabody Essex Museum on January 15, 2027.</w:t>
      </w:r>
    </w:p>
    <w:p>
      <w:pPr>
        <w:spacing w:before="200" w:after="80"/>
      </w:pPr>
      <w:r>
        <w:rPr>
          <w:b/>
          <w:color w:val="1F384D"/>
          <w:sz w:val="30"/>
        </w:rPr>
        <w:t>2. Treatment tiers</w:t>
      </w:r>
    </w:p>
    <w:p>
      <w:pPr>
        <w:spacing w:after="40"/>
      </w:pPr>
      <w:r>
        <w:rPr>
          <w:b/>
          <w:i w:val="0"/>
          <w:sz w:val="22"/>
        </w:rPr>
        <w:t>Tier A, immediate stabilization (7 samplers).</w:t>
      </w:r>
    </w:p>
    <w:p>
      <w:pPr>
        <w:spacing w:after="160"/>
      </w:pPr>
      <w:r>
        <w:rPr>
          <w:b w:val="0"/>
          <w:i w:val="0"/>
          <w:sz w:val="22"/>
        </w:rPr>
        <w:t>Active losses, brittle silk, or failing prior mounts. These receive humidification, realignment, and a stitched support before any handling for study or display.</w:t>
      </w:r>
    </w:p>
    <w:p>
      <w:pPr>
        <w:spacing w:after="40"/>
      </w:pPr>
      <w:r>
        <w:rPr>
          <w:b/>
          <w:i w:val="0"/>
          <w:sz w:val="22"/>
        </w:rPr>
        <w:t>Tier B, standard stabilization (10 samplers).</w:t>
      </w:r>
    </w:p>
    <w:p>
      <w:pPr>
        <w:spacing w:after="160"/>
      </w:pPr>
      <w:r>
        <w:rPr>
          <w:b w:val="0"/>
          <w:i w:val="0"/>
          <w:sz w:val="22"/>
        </w:rPr>
        <w:t>Sound but soiled or slightly distorted. Surface cleaning by low suction through screen, minor stitched support, and rehousing.</w:t>
      </w:r>
    </w:p>
    <w:p>
      <w:pPr>
        <w:spacing w:after="40"/>
      </w:pPr>
      <w:r>
        <w:rPr>
          <w:b/>
          <w:i w:val="0"/>
          <w:sz w:val="22"/>
        </w:rPr>
        <w:t>Tier C, rehousing only (5 samplers).</w:t>
      </w:r>
    </w:p>
    <w:p>
      <w:pPr>
        <w:spacing w:after="160"/>
      </w:pPr>
      <w:r>
        <w:rPr>
          <w:b w:val="0"/>
          <w:i w:val="0"/>
          <w:sz w:val="22"/>
        </w:rPr>
        <w:t>Stable and clean. These need archival rehousing and updated condition photography, no intervention to the textile itself.</w:t>
      </w:r>
    </w:p>
    <w:p>
      <w:pPr>
        <w:spacing w:before="200" w:after="80"/>
      </w:pPr>
      <w:r>
        <w:rPr>
          <w:b/>
          <w:color w:val="1F384D"/>
          <w:sz w:val="30"/>
        </w:rPr>
        <w:t>3. Methods and ethics</w:t>
      </w:r>
    </w:p>
    <w:p>
      <w:pPr>
        <w:pStyle w:val="ListBullet"/>
      </w:pPr>
      <w:r>
        <w:t>All treatment is minimal and reversible. No overpainting, no replacement of lost stitching, no bleaching.</w:t>
      </w:r>
    </w:p>
    <w:p>
      <w:pPr>
        <w:pStyle w:val="ListBullet"/>
      </w:pPr>
      <w:r>
        <w:t>Supports are fine silk or polyester crepeline, stitched with conservation grade silk thread.</w:t>
      </w:r>
    </w:p>
    <w:p>
      <w:pPr>
        <w:pStyle w:val="ListBullet"/>
      </w:pPr>
      <w:r>
        <w:t>Each sampler is documented before, during, and after, with raking light and normal light images.</w:t>
      </w:r>
    </w:p>
    <w:p>
      <w:pPr>
        <w:spacing w:before="200" w:after="80"/>
      </w:pPr>
      <w:r>
        <w:rPr>
          <w:b/>
          <w:color w:val="1F384D"/>
          <w:sz w:val="30"/>
        </w:rPr>
        <w:t>4. Schedule and reporting</w:t>
      </w:r>
    </w:p>
    <w:p>
      <w:pPr>
        <w:spacing w:after="120"/>
      </w:pPr>
      <w:r>
        <w:rPr>
          <w:b w:val="0"/>
          <w:i w:val="0"/>
          <w:sz w:val="22"/>
        </w:rPr>
        <w:t>Treatment runs from October 2026 through the first week of January 2027, with a written report and updated photography delivered to the museum by January 15, 2027. Progress notes will be shared at the end of October and the end of November 2026.</w:t>
      </w:r>
    </w:p>
    <w:p>
      <w:pPr>
        <w:spacing w:after="120"/>
      </w:pPr>
      <w:r>
        <w:rPr>
          <w:b w:val="0"/>
          <w:i/>
          <w:sz w:val="20"/>
        </w:rPr>
        <w:t>Prepared by Jesse Perez, Perez Textile Conservation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