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Psychological Safety Workshop Series</w:t>
      </w:r>
    </w:p>
    <w:p>
      <w:r>
        <w:rPr>
          <w:b/>
          <w:sz w:val="24"/>
        </w:rPr>
        <w:t>Prepared for Meridian Financial, People and Culture</w:t>
      </w:r>
    </w:p>
    <w:p>
      <w:r>
        <w:t>Client contact: Karen Cho, Vice President, People</w:t>
      </w:r>
    </w:p>
    <w:p>
      <w:r>
        <w:t>Facilitator: Dr. Jordan Brock, Brock Leadership Group</w:t>
      </w:r>
    </w:p>
    <w:p>
      <w:r>
        <w:t>Format: four half day sessions, in person, delivered to the senior leadership group and two pilot teams.</w:t>
      </w:r>
    </w:p>
    <w:p>
      <w:r>
        <w:rPr>
          <w:b/>
          <w:sz w:val="24"/>
        </w:rPr>
        <w:t>Session One: The Business Case</w:t>
      </w:r>
    </w:p>
    <w:p>
      <w:r>
        <w:t>We open by reframing psychological safety as a measurable driver of performance rather than a wellbeing initiative. Participants score their own teams using a short diagnostic, then compare results against engagement and error data the company already collects. The aim is to leave the room with a shared definition and a number everyone agrees to move.</w:t>
      </w:r>
    </w:p>
    <w:p>
      <w:r>
        <w:rPr>
          <w:b/>
          <w:sz w:val="24"/>
        </w:rPr>
        <w:t>Session Two: The Four Signals</w:t>
      </w:r>
    </w:p>
    <w:p>
      <w:r>
        <w:t>Teams learn the four signals that members read to decide whether speaking up is safe. Through paired exercises, leaders practice the specific behaviors that send each signal, including how to respond in the first five seconds after someone raises a concern. That five second window does more to set the climate than any policy.</w:t>
      </w:r>
    </w:p>
    <w:p>
      <w:r>
        <w:rPr>
          <w:b/>
          <w:sz w:val="24"/>
        </w:rPr>
        <w:t>Session Three: Productive Conflict</w:t>
      </w:r>
    </w:p>
    <w:p>
      <w:r>
        <w:t>Safety is not the absence of disagreement, so this session builds the skill of conflict that stays useful. We run a live decision scenario drawn from Meridian operations, then debrief the moments where the group went quiet and the moments where it pushed. Leaders leave with a simple protocol for inviting dissent on real decisions.</w:t>
      </w:r>
    </w:p>
    <w:p>
      <w:r>
        <w:rPr>
          <w:b/>
          <w:sz w:val="24"/>
        </w:rPr>
        <w:t>Session Four: Sustaining the Climate</w:t>
      </w:r>
    </w:p>
    <w:p>
      <w:r>
        <w:t>The final session turns practice into routine. Each leader commits to two behaviors and one team ritual, and we agree on how the diagnostic will be rerun at ninety days. The series closes with a written measurement plan so progress can be tracked without me in the room.</w:t>
      </w:r>
    </w:p>
    <w:p>
      <w:r>
        <w:rPr>
          <w:b/>
          <w:sz w:val="24"/>
        </w:rPr>
        <w:t>Deliverables</w:t>
      </w:r>
    </w:p>
    <w:p>
      <w:pPr>
        <w:pStyle w:val="ListBullet"/>
      </w:pPr>
      <w:r>
        <w:t>A team level diagnostic at the start and at ninety days</w:t>
      </w:r>
    </w:p>
    <w:p>
      <w:pPr>
        <w:pStyle w:val="ListBullet"/>
      </w:pPr>
      <w:r>
        <w:t>A one page behavior commitment for every leader</w:t>
      </w:r>
    </w:p>
    <w:p>
      <w:pPr>
        <w:pStyle w:val="ListBullet"/>
      </w:pPr>
      <w:r>
        <w:t>A measurement plan tied to existing engagement and quality metrics</w:t>
      </w:r>
    </w:p>
    <w:p>
      <w:r>
        <w:t>Engagement fee for the four session series is 24,000 dollars, invoiced in two installments.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Brock</dc:creator>
  <cp:keywords/>
  <dc:description/>
  <cp:lastModifiedBy>Jordan Brock</cp:lastModifiedBy>
  <cp:revision>2</cp:revision>
  <dcterms:created xsi:type="dcterms:W3CDTF">2026-02-20T09:15:00Z</dcterms:created>
  <dcterms:modified xsi:type="dcterms:W3CDTF">2026-02-20T09:15:00Z</dcterms:modified>
  <cp:category/>
</cp:coreProperties>
</file>