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Ridgeline Winter Corridor and Safety Brief</w:t>
      </w:r>
    </w:p>
    <w:p>
      <w:r>
        <w:rPr>
          <w:i/>
        </w:rPr>
        <w:t>Draft. Held for A. Hicks sign-off. Not for distribution.</w:t>
      </w:r>
    </w:p>
    <w:p>
      <w:pPr>
        <w:pStyle w:val="Heading1"/>
      </w:pPr>
      <w:r>
        <w:t>1. Headline read</w:t>
      </w:r>
    </w:p>
    <w:p>
      <w:r>
        <w:t>One-paragraph read on where the fleet is exposed in the January and February 2027 window across the four mainline corridors. Priority-ranked. Written so leadership can act on it without opening the appendix.</w:t>
      </w:r>
    </w:p>
    <w:p>
      <w:r>
        <w:t>[Fill from the reconciled stop atlas, the tablet reliability families, the training gap, and the load preview overlay.]</w:t>
      </w:r>
    </w:p>
    <w:p>
      <w:pPr>
        <w:pStyle w:val="Heading1"/>
      </w:pPr>
      <w:r>
        <w:t>2. Corridor-by-corridor picture</w:t>
      </w:r>
    </w:p>
    <w:p>
      <w:pPr>
        <w:pStyle w:val="Heading2"/>
      </w:pPr>
      <w:r>
        <w:t>I-65</w:t>
      </w:r>
    </w:p>
    <w:p>
      <w:r>
        <w:t>Safe overnight parking capacity against expected driver count.</w:t>
      </w:r>
    </w:p>
    <w:p>
      <w:r>
        <w:t>Stops recommended for the atlas. Stops set aside for review. Evidence line behind each.</w:t>
      </w:r>
    </w:p>
    <w:p>
      <w:r>
        <w:t>Parking exposure expressed in trucks and hours of service.</w:t>
      </w:r>
    </w:p>
    <w:p>
      <w:pPr>
        <w:pStyle w:val="Heading2"/>
      </w:pPr>
      <w:r>
        <w:t>I-20</w:t>
      </w:r>
    </w:p>
    <w:p>
      <w:r>
        <w:t>Safe overnight parking capacity against expected driver count.</w:t>
      </w:r>
    </w:p>
    <w:p>
      <w:r>
        <w:t>Stops recommended for the atlas. Stops set aside for review. Evidence line behind each.</w:t>
      </w:r>
    </w:p>
    <w:p>
      <w:r>
        <w:t>Parking exposure expressed in trucks and hours of service.</w:t>
      </w:r>
    </w:p>
    <w:p>
      <w:pPr>
        <w:pStyle w:val="Heading2"/>
      </w:pPr>
      <w:r>
        <w:t>I-75</w:t>
      </w:r>
    </w:p>
    <w:p>
      <w:r>
        <w:t>Safe overnight parking capacity against expected driver count.</w:t>
      </w:r>
    </w:p>
    <w:p>
      <w:r>
        <w:t>Stops recommended for the atlas. Stops set aside for review. Evidence line behind each.</w:t>
      </w:r>
    </w:p>
    <w:p>
      <w:r>
        <w:t>Parking exposure expressed in trucks and hours of service.</w:t>
      </w:r>
    </w:p>
    <w:p>
      <w:pPr>
        <w:pStyle w:val="Heading2"/>
      </w:pPr>
      <w:r>
        <w:t>I-40</w:t>
      </w:r>
    </w:p>
    <w:p>
      <w:r>
        <w:t>Safe overnight parking capacity against expected driver count.</w:t>
      </w:r>
    </w:p>
    <w:p>
      <w:r>
        <w:t>Stops recommended for the atlas. Stops set aside for review. Evidence line behind each.</w:t>
      </w:r>
    </w:p>
    <w:p>
      <w:r>
        <w:t>Parking exposure expressed in trucks and hours of service.</w:t>
      </w:r>
    </w:p>
    <w:p>
      <w:pPr>
        <w:pStyle w:val="Heading1"/>
      </w:pPr>
      <w:r>
        <w:t>3. Fleet tablet reliability</w:t>
      </w:r>
    </w:p>
    <w:p>
      <w:r>
        <w:t>The two or three failure patterns leadership needs to hear called by name. Corridors each pattern hits hardest. Standing of the fix.</w:t>
      </w:r>
    </w:p>
    <w:p>
      <w:r>
        <w:t>[Group the ticket families. Cross-check against dispatch-continuity incidents only.]</w:t>
      </w:r>
    </w:p>
    <w:p>
      <w:pPr>
        <w:pStyle w:val="Heading1"/>
      </w:pPr>
      <w:r>
        <w:t>4. Policy reconciliation</w:t>
      </w:r>
    </w:p>
    <w:p>
      <w:r>
        <w:t>Every hours of service and winter fuel line the brief leans on, reconciled against the newest posted driver policy wiki. Any older guidance the brief avoided is named here so leadership sees what was set aside.</w:t>
      </w:r>
    </w:p>
    <w:p>
      <w:pPr>
        <w:pStyle w:val="Heading1"/>
      </w:pPr>
      <w:r>
        <w:t>5. Training gap by corridor cohort</w:t>
      </w:r>
    </w:p>
    <w:p>
      <w:r>
        <w:t>Where the safety campaign engagement and the DOT recertification completion agree, and where they diverge. Newest source wins where they disagree.</w:t>
      </w:r>
    </w:p>
    <w:p>
      <w:pPr>
        <w:pStyle w:val="Heading1"/>
      </w:pPr>
      <w:r>
        <w:t>6. Stacked risk map</w:t>
      </w:r>
    </w:p>
    <w:p>
      <w:r>
        <w:t>The corridor-week cells where parking exposure, tablet exposure, and training gap stack on the same lane at the same time across the January and February 2027 forecast.</w:t>
      </w:r>
    </w:p>
    <w:p>
      <w:pPr>
        <w:pStyle w:val="Heading1"/>
      </w:pPr>
      <w:r>
        <w:t>7. Trusted-versus-held log</w:t>
      </w:r>
    </w:p>
    <w:p>
      <w:r>
        <w:t>Every source the brief trusted and every source it set aside. Every action staged and held for sign-off.</w:t>
      </w:r>
    </w:p>
    <w:p>
      <w:pPr>
        <w:pStyle w:val="Heading1"/>
      </w:pPr>
      <w:r>
        <w:t>8. Open items awaiting sign-off</w:t>
      </w:r>
    </w:p>
    <w:p>
      <w:r>
        <w:t>Drafts, decisions, and outreach queued for A. Hicks before the February 5, 2027 sit-down.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