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75CAE" w14:textId="77777777" w:rsidR="00D36C4A" w:rsidRDefault="00D36C4A">
      <w:r>
        <w:t>R21 REVIEWER RESPONSE MEMO - DRAFT</w:t>
      </w:r>
    </w:p>
    <w:p w14:paraId="02EB6F62" w14:textId="77777777" w:rsidR="00D36C4A" w:rsidRDefault="00D36C4A">
      <w:r>
        <w:t>*** DRAFT - DO NOT SEND. FOR MENTOR REVIEW ONLY. ***</w:t>
      </w:r>
    </w:p>
    <w:p w14:paraId="72F1DE62" w14:textId="77777777" w:rsidR="00D36C4A" w:rsidRDefault="00D36C4A"/>
    <w:p w14:paraId="0212FC3F" w14:textId="77777777" w:rsidR="00D36C4A" w:rsidRDefault="00D36C4A">
      <w:r>
        <w:t>Application: R21AI-2026-Rush-Kelley - Multi-site RTS,S implementation reconciliation methodology</w:t>
      </w:r>
    </w:p>
    <w:p w14:paraId="5D378141" w14:textId="77777777" w:rsidR="00D36C4A" w:rsidRDefault="00D36C4A">
      <w:r>
        <w:t>Study Section: NIAID Special Emphasis Panel, Implementation Science in Infectious Disease</w:t>
      </w:r>
    </w:p>
    <w:p w14:paraId="367478FA" w14:textId="77777777" w:rsidR="00D36C4A" w:rsidRDefault="00D36C4A">
      <w:r>
        <w:t>Submitted: February 2026. Summary statement received: October 2, 2026.</w:t>
      </w:r>
    </w:p>
    <w:p w14:paraId="3A15500B" w14:textId="77777777" w:rsidR="00D36C4A" w:rsidRDefault="00D36C4A">
      <w:r>
        <w:t>PI: Fritz Rush, MD, MPH. Co-PIs: Sarah Kelley (UColorado), Kevin Osborne (Glenwood College).</w:t>
      </w:r>
    </w:p>
    <w:p w14:paraId="3DFBE62F" w14:textId="77777777" w:rsidR="00D36C4A" w:rsidRDefault="00D36C4A">
      <w:r>
        <w:t>Prepared by: Fritz Rush, for review with Kevin Osborne at the IDWeek sit-down.</w:t>
      </w:r>
    </w:p>
    <w:p w14:paraId="22CBCD33" w14:textId="77777777" w:rsidR="00D36C4A" w:rsidRDefault="00D36C4A"/>
    <w:p w14:paraId="3445095C" w14:textId="77777777" w:rsidR="00D36C4A" w:rsidRDefault="00D36C4A">
      <w:r>
        <w:t>1. OVERVIEW</w:t>
      </w:r>
    </w:p>
    <w:p w14:paraId="20CF2404" w14:textId="77777777" w:rsidR="00D36C4A" w:rsidRDefault="00D36C4A"/>
    <w:p w14:paraId="7F28E265" w14:textId="77777777" w:rsidR="00D36C4A" w:rsidRDefault="00D36C4A">
      <w:r>
        <w:t>This memo maps each reviewer comment to the aims and sections that would move if we revised, proposes the revision, and cross-references the evidence tie-back. Track-changes stays on until Kevin has walked through this with me. Nothing goes to the study section without his sign-off. No preliminary content posts to the WordPress implementation blog or LinkedIn until the memo is finalized and the R21 has been re-reviewed.</w:t>
      </w:r>
    </w:p>
    <w:p w14:paraId="435606BC" w14:textId="77777777" w:rsidR="00D36C4A" w:rsidRDefault="00D36C4A"/>
    <w:p w14:paraId="6A7718A7" w14:textId="77777777" w:rsidR="00D36C4A" w:rsidRDefault="00D36C4A">
      <w:r>
        <w:t>2. REVIEWER 1 - COMMENT-BY-COMMENT RESPONSE</w:t>
      </w:r>
    </w:p>
    <w:p w14:paraId="066D4199" w14:textId="77777777" w:rsidR="00D36C4A" w:rsidRDefault="00D36C4A"/>
    <w:p w14:paraId="5E823475" w14:textId="77777777" w:rsidR="00D36C4A" w:rsidRDefault="00D36C4A">
      <w:r>
        <w:t>Comment 1.1: The multi-site reconciliation methodology is compelling but under-specified regarding the two-source verification rule when sources materially disagree.</w:t>
      </w:r>
    </w:p>
    <w:p w14:paraId="186B2E5A" w14:textId="77777777" w:rsidR="00D36C4A" w:rsidRDefault="00D36C4A">
      <w:r>
        <w:t>Section that would move: Aim 2 Methods, subsection Cross-source reconciliation protocol.</w:t>
      </w:r>
    </w:p>
    <w:p w14:paraId="557B519D" w14:textId="77777777" w:rsidR="00D36C4A" w:rsidRDefault="00D36C4A">
      <w:r>
        <w:t>Proposed revision: Add explicit decision rule. Newest-and-closest-to-source wins. Where the encounter count (raw pipeline) and the delivered-dose count (partner sign-off) disagree by more than a defined tolerance, the site carries an open conclusion status rather than a forced verdict. Point to the preliminary Kilifi finding from the current cohort as concrete example.</w:t>
      </w:r>
    </w:p>
    <w:p w14:paraId="0D5FF5D8" w14:textId="77777777" w:rsidR="00D36C4A" w:rsidRDefault="00D36C4A">
      <w:r>
        <w:t>Evidence tie-back: rtss_reconciled_numbers.xlsx Sheet 2 (Audit trail) already implements this rule. Reference the operating rule verbatim in the revised methods.</w:t>
      </w:r>
    </w:p>
    <w:p w14:paraId="4E2C2123" w14:textId="77777777" w:rsidR="00D36C4A" w:rsidRDefault="00D36C4A"/>
    <w:p w14:paraId="35DFE7E5" w14:textId="77777777" w:rsidR="00D36C4A" w:rsidRDefault="00D36C4A">
      <w:r>
        <w:t>Comment 1.2: Efficacy assumption of 0.36 is held constant across sites. Reviewer requests sensitivity analysis for site-specific efficacy variation.</w:t>
      </w:r>
    </w:p>
    <w:p w14:paraId="6D63142A" w14:textId="77777777" w:rsidR="00D36C4A" w:rsidRDefault="00D36C4A">
      <w:r>
        <w:t>Section that would move: Aim 3 Analysis Plan.</w:t>
      </w:r>
    </w:p>
    <w:p w14:paraId="1C911907" w14:textId="77777777" w:rsidR="00D36C4A" w:rsidRDefault="00D36C4A">
      <w:r>
        <w:t>Proposed revision: Add sensitivity table showing aggregate illness-averted estimates under efficacy fractions of 0.28, 0.32, 0.36, 0.40, and 0.44. Note that the point estimate of 380 clinical malaria cases averted shifts to a range of 296 to 465 across that spread. Emphasize that the reconciliation methodology is efficacy-agnostic - the coverage number is the thing we are trying to defend.</w:t>
      </w:r>
    </w:p>
    <w:p w14:paraId="311B6DE4" w14:textId="77777777" w:rsidR="00D36C4A" w:rsidRDefault="00D36C4A">
      <w:r>
        <w:t>Evidence tie-back: coverage_illness_averted_calc.pdf backup section.</w:t>
      </w:r>
    </w:p>
    <w:p w14:paraId="1475F615" w14:textId="77777777" w:rsidR="00D36C4A" w:rsidRDefault="00D36C4A"/>
    <w:p w14:paraId="7F07CD27" w14:textId="77777777" w:rsidR="00D36C4A" w:rsidRDefault="00D36C4A">
      <w:r>
        <w:t>3. REVIEWER 2 - COMMENT-BY-COMMENT RESPONSE</w:t>
      </w:r>
    </w:p>
    <w:p w14:paraId="2F7F5B0E" w14:textId="77777777" w:rsidR="00D36C4A" w:rsidRDefault="00D36C4A"/>
    <w:p w14:paraId="248ACDA1" w14:textId="77777777" w:rsidR="00D36C4A" w:rsidRDefault="00D36C4A">
      <w:r>
        <w:t>Comment 2.1: Salesforce partner sign-off as the second source in the two-source verification rule is a novel choice. Justify.</w:t>
      </w:r>
    </w:p>
    <w:p w14:paraId="0CCDEAAE" w14:textId="77777777" w:rsidR="00D36C4A" w:rsidRDefault="00D36C4A">
      <w:r>
        <w:t>Section that would move: Aim 2 Methods, subsection Data sources.</w:t>
      </w:r>
    </w:p>
    <w:p w14:paraId="677BD136" w14:textId="77777777" w:rsidR="00D36C4A" w:rsidRDefault="00D36C4A">
      <w:r>
        <w:t>Proposed revision: Justify Salesforce partner sign-off as the second source because it captures a distinct verification pathway (site coordinator confirms delivered dose count against local paper registers), independent of the digital pipeline that feeds Dropbox. This is not vendor preference - it is a workflow-level separation of concerns. Cite the two hidden conflicts from the preliminary cohort where the two sources caught real discrepancies (Kintampo stale Confluence, Kilifi delta of 33 doses).</w:t>
      </w:r>
    </w:p>
    <w:p w14:paraId="6671C18F" w14:textId="77777777" w:rsidR="00D36C4A" w:rsidRDefault="00D36C4A">
      <w:r>
        <w:t>Evidence tie-back: rtss_reconciled_numbers.xlsx Sheet 3 (Cross-service reconciliation) shows the delta between raw pipeline and partner sign-off per site.</w:t>
      </w:r>
    </w:p>
    <w:p w14:paraId="7938310F" w14:textId="77777777" w:rsidR="00D36C4A" w:rsidRDefault="00D36C4A"/>
    <w:p w14:paraId="67DCFC73" w14:textId="77777777" w:rsidR="00D36C4A" w:rsidRDefault="00D36C4A">
      <w:r>
        <w:t>Comment 2.2: How generalizable is the methodology beyond RTS,S to other pediatric vaccines with delivery-heterogeneity?</w:t>
      </w:r>
    </w:p>
    <w:p w14:paraId="25E2D7DC" w14:textId="77777777" w:rsidR="00D36C4A" w:rsidRDefault="00D36C4A">
      <w:r>
        <w:t>Section that would move: Significance and Innovation.</w:t>
      </w:r>
    </w:p>
    <w:p w14:paraId="2CA7CA15" w14:textId="77777777" w:rsidR="00D36C4A" w:rsidRDefault="00D36C4A">
      <w:r>
        <w:t>Proposed revision: Add a paragraph on domestic-transfer implications. The same two-source reconciliation rule maps onto pediatric HPV coverage (registry vs claim) and pediatric influenza coverage (school-based delivery vs pediatrician office). The R21 stays focused on RTS,S but the methodology transfers, and this is exactly why implementation science is the frame.</w:t>
      </w:r>
    </w:p>
    <w:p w14:paraId="74D353D5" w14:textId="77777777" w:rsidR="00D36C4A" w:rsidRDefault="00D36C4A"/>
    <w:p w14:paraId="502DB403" w14:textId="77777777" w:rsidR="00D36C4A" w:rsidRDefault="00D36C4A">
      <w:r>
        <w:t>4. REVIEWER 3 - COMMENT-BY-COMMENT RESPONSE</w:t>
      </w:r>
    </w:p>
    <w:p w14:paraId="699163E9" w14:textId="77777777" w:rsidR="00D36C4A" w:rsidRDefault="00D36C4A"/>
    <w:p w14:paraId="2C250F4F" w14:textId="77777777" w:rsidR="00D36C4A" w:rsidRDefault="00D36C4A">
      <w:r>
        <w:t>Comment 3.1: Sample size across the proposed larger site set is not clearly justified.</w:t>
      </w:r>
    </w:p>
    <w:p w14:paraId="72C81F85" w14:textId="77777777" w:rsidR="00D36C4A" w:rsidRDefault="00D36C4A">
      <w:r>
        <w:t>Section that would move: Aim 1 (Site selection and enrollment) and Statistical Considerations.</w:t>
      </w:r>
    </w:p>
    <w:p w14:paraId="7CA7509C" w14:textId="77777777" w:rsidR="00D36C4A" w:rsidRDefault="00D36C4A">
      <w:r>
        <w:t>Proposed revision: Provide the enrollment projections for the R21 expansion set (twelve sites versus the current five), grounded in the observed enrollment rates from the current preliminary cohort. Reference the 4,382 enrolled encounters over the observation window as the empirical anchor. Reviewer concern about power for site-level heterogeneity is legitimate, and we should show explicit power calculations for the coverage-difference-between-sites test.</w:t>
      </w:r>
    </w:p>
    <w:p w14:paraId="342CFB53" w14:textId="77777777" w:rsidR="00D36C4A" w:rsidRDefault="00D36C4A">
      <w:r>
        <w:t>Evidence tie-back: rtss_reconciled_numbers.xlsx Sheet 4 (Aggregate) plus a new power-calculation appendix to draft.</w:t>
      </w:r>
    </w:p>
    <w:p w14:paraId="236B95E2" w14:textId="77777777" w:rsidR="00D36C4A" w:rsidRDefault="00D36C4A"/>
    <w:p w14:paraId="4D265CC3" w14:textId="77777777" w:rsidR="00D36C4A" w:rsidRDefault="00D36C4A">
      <w:r>
        <w:t>Comment 3.2: Community-engagement plan is thin. What is the plan for stakeholder disagreement?</w:t>
      </w:r>
    </w:p>
    <w:p w14:paraId="43CC0C5D" w14:textId="77777777" w:rsidR="00D36C4A" w:rsidRDefault="00D36C4A">
      <w:r>
        <w:t>Section that would move: Aim 3 Community Engagement.</w:t>
      </w:r>
    </w:p>
    <w:p w14:paraId="070FB204" w14:textId="77777777" w:rsidR="00D36C4A" w:rsidRDefault="00D36C4A">
      <w:r>
        <w:t>Proposed revision: Expand the stakeholder-disagreement subsection. Name the Salesforce partner sign-off workflow as the audit trail. Name the WhatsApp field-site coordination channel as the escalation surface. Do not name specific individuals in the memo. Reference the UNICEF and WHO pediatric malaria vaccine implementation working groups as external validators.</w:t>
      </w:r>
    </w:p>
    <w:p w14:paraId="56606D46" w14:textId="77777777" w:rsidR="00D36C4A" w:rsidRDefault="00D36C4A"/>
    <w:p w14:paraId="3E03AEA0" w14:textId="77777777" w:rsidR="00D36C4A" w:rsidRDefault="00D36C4A">
      <w:r>
        <w:t>5. CROSS-CUTTING REVISIONS</w:t>
      </w:r>
    </w:p>
    <w:p w14:paraId="29C81432" w14:textId="77777777" w:rsidR="00D36C4A" w:rsidRDefault="00D36C4A"/>
    <w:p w14:paraId="5C66340F" w14:textId="77777777" w:rsidR="00D36C4A" w:rsidRDefault="00D36C4A">
      <w:r>
        <w:t>- Update the co-investigator list to match the submitted cover letter of record. The Notion research roadmap page had an older list that omitted the Bagamoyo site PI. The submitted document is authoritative and stays.</w:t>
      </w:r>
    </w:p>
    <w:p w14:paraId="27EFA3FA" w14:textId="77777777" w:rsidR="00D36C4A" w:rsidRDefault="00D36C4A">
      <w:r>
        <w:t>- Add explicit acknowledgment of the ClawMark-style stateful multi-service reconciliation as a methodological inspiration - this signals that we are aware of the implementation-science literature on multi-source data trust.</w:t>
      </w:r>
    </w:p>
    <w:p w14:paraId="36CC8671" w14:textId="77777777" w:rsidR="00D36C4A" w:rsidRDefault="00D36C4A">
      <w:r>
        <w:t>- Tighten the innovation statement. The novelty is not that we reconcile - it is that we hold an open conclusion rather than forcing a verdict when the two sources disagree. That is the sentence Kevin will want tightened.</w:t>
      </w:r>
    </w:p>
    <w:p w14:paraId="5E0353B8" w14:textId="77777777" w:rsidR="00D36C4A" w:rsidRDefault="00D36C4A"/>
    <w:p w14:paraId="2A629684" w14:textId="77777777" w:rsidR="00D36C4A" w:rsidRDefault="00D36C4A">
      <w:r>
        <w:t>6. WHAT I NEED FROM KEVIN</w:t>
      </w:r>
    </w:p>
    <w:p w14:paraId="45627F54" w14:textId="77777777" w:rsidR="00D36C4A" w:rsidRDefault="00D36C4A"/>
    <w:p w14:paraId="2B1F921B" w14:textId="77777777" w:rsidR="00D36C4A" w:rsidRDefault="00D36C4A">
      <w:r>
        <w:t>- Confirm the revision plan before I put anything on paper.</w:t>
      </w:r>
    </w:p>
    <w:p w14:paraId="0867E12C" w14:textId="77777777" w:rsidR="00D36C4A" w:rsidRDefault="00D36C4A">
      <w:r>
        <w:t>- Confirm co-I list. Sarah Kelley and Kevin Osborne per submitted cover letter, plus site PIs per submitted cover letter.</w:t>
      </w:r>
    </w:p>
    <w:p w14:paraId="4FC058C8" w14:textId="77777777" w:rsidR="00D36C4A" w:rsidRDefault="00D36C4A">
      <w:r>
        <w:t>- Confirm that we should reference the preliminary Kilifi open-conclusion finding as a concrete example, versus keeping it abstract.</w:t>
      </w:r>
    </w:p>
    <w:p w14:paraId="1A4A8DA8" w14:textId="77777777" w:rsidR="00D36C4A" w:rsidRDefault="00D36C4A">
      <w:r>
        <w:t>- Confirm the sit-down window at IDWeek to walk through this document line by line.</w:t>
      </w:r>
    </w:p>
    <w:p w14:paraId="7D702C18" w14:textId="77777777" w:rsidR="00D36C4A" w:rsidRDefault="00D36C4A"/>
    <w:p w14:paraId="3390BB70" w14:textId="5358A076" w:rsidR="002A26CB" w:rsidRDefault="00D36C4A">
      <w:r>
        <w:t>*** END DRAFT - HOLD FOR MENTOR REVIEW. ***</w:t>
      </w:r>
    </w:p>
    <w:sectPr w:rsidR="002A26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C4A"/>
    <w:rsid w:val="002A26CB"/>
    <w:rsid w:val="00680C0A"/>
    <w:rsid w:val="00B80357"/>
    <w:rsid w:val="00D36C4A"/>
    <w:rsid w:val="00D82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A1008"/>
  <w15:chartTrackingRefBased/>
  <w15:docId w15:val="{0C37B14F-C987-4AF2-BDBA-4A238C040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C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6C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6C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6C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6C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6C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C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C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C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C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6C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6C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6C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6C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6C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C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C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C4A"/>
    <w:rPr>
      <w:rFonts w:eastAsiaTheme="majorEastAsia" w:cstheme="majorBidi"/>
      <w:color w:val="272727" w:themeColor="text1" w:themeTint="D8"/>
    </w:rPr>
  </w:style>
  <w:style w:type="paragraph" w:styleId="Title">
    <w:name w:val="Title"/>
    <w:basedOn w:val="Normal"/>
    <w:next w:val="Normal"/>
    <w:link w:val="TitleChar"/>
    <w:uiPriority w:val="10"/>
    <w:qFormat/>
    <w:rsid w:val="00D36C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C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C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C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C4A"/>
    <w:pPr>
      <w:spacing w:before="160"/>
      <w:jc w:val="center"/>
    </w:pPr>
    <w:rPr>
      <w:i/>
      <w:iCs/>
      <w:color w:val="404040" w:themeColor="text1" w:themeTint="BF"/>
    </w:rPr>
  </w:style>
  <w:style w:type="character" w:customStyle="1" w:styleId="QuoteChar">
    <w:name w:val="Quote Char"/>
    <w:basedOn w:val="DefaultParagraphFont"/>
    <w:link w:val="Quote"/>
    <w:uiPriority w:val="29"/>
    <w:rsid w:val="00D36C4A"/>
    <w:rPr>
      <w:i/>
      <w:iCs/>
      <w:color w:val="404040" w:themeColor="text1" w:themeTint="BF"/>
    </w:rPr>
  </w:style>
  <w:style w:type="paragraph" w:styleId="ListParagraph">
    <w:name w:val="List Paragraph"/>
    <w:basedOn w:val="Normal"/>
    <w:uiPriority w:val="34"/>
    <w:qFormat/>
    <w:rsid w:val="00D36C4A"/>
    <w:pPr>
      <w:ind w:left="720"/>
      <w:contextualSpacing/>
    </w:pPr>
  </w:style>
  <w:style w:type="character" w:styleId="IntenseEmphasis">
    <w:name w:val="Intense Emphasis"/>
    <w:basedOn w:val="DefaultParagraphFont"/>
    <w:uiPriority w:val="21"/>
    <w:qFormat/>
    <w:rsid w:val="00D36C4A"/>
    <w:rPr>
      <w:i/>
      <w:iCs/>
      <w:color w:val="2F5496" w:themeColor="accent1" w:themeShade="BF"/>
    </w:rPr>
  </w:style>
  <w:style w:type="paragraph" w:styleId="IntenseQuote">
    <w:name w:val="Intense Quote"/>
    <w:basedOn w:val="Normal"/>
    <w:next w:val="Normal"/>
    <w:link w:val="IntenseQuoteChar"/>
    <w:uiPriority w:val="30"/>
    <w:qFormat/>
    <w:rsid w:val="00D36C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6C4A"/>
    <w:rPr>
      <w:i/>
      <w:iCs/>
      <w:color w:val="2F5496" w:themeColor="accent1" w:themeShade="BF"/>
    </w:rPr>
  </w:style>
  <w:style w:type="character" w:styleId="IntenseReference">
    <w:name w:val="Intense Reference"/>
    <w:basedOn w:val="DefaultParagraphFont"/>
    <w:uiPriority w:val="32"/>
    <w:qFormat/>
    <w:rsid w:val="00D36C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950</Words>
  <Characters>5421</Characters>
  <Application>Microsoft Office Word</Application>
  <DocSecurity>0</DocSecurity>
  <Lines>45</Lines>
  <Paragraphs>12</Paragraphs>
  <ScaleCrop>false</ScaleCrop>
  <Company/>
  <LinksUpToDate>false</LinksUpToDate>
  <CharactersWithSpaces>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2026-07-07T05:06:00Z</dcterms:created>
  <dcterms:modified xsi:type="dcterms:W3CDTF">2026-07-07T05:06:00Z</dcterms:modified>
</cp:coreProperties>
</file>