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B2E"/>
          <w:sz w:val="26"/>
        </w:rPr>
        <w:t>Finca Miles</w:t>
      </w:r>
    </w:p>
    <w:p>
      <w:pPr>
        <w:spacing w:after="80"/>
      </w:pPr>
      <w:r>
        <w:rPr>
          <w:color w:val="7C7666"/>
          <w:sz w:val="17"/>
        </w:rPr>
        <w:t>Quality Manual | Pressing and Sensory Standards</w:t>
      </w:r>
    </w:p>
    <w:p>
      <w:pPr>
        <w:spacing w:after="120"/>
        <w:pBdr>
          <w:bottom w:val="single" w:sz="12" w:color="5B6B2E" w:space="1"/>
        </w:pBdr>
      </w:pPr>
    </w:p>
    <w:p>
      <w:pPr>
        <w:jc w:val="center"/>
      </w:pPr>
      <w:r>
        <w:rPr>
          <w:b/>
          <w:color w:val="2B2823"/>
          <w:sz w:val="34"/>
        </w:rPr>
        <w:t>Estate Quality Manual</w:t>
      </w:r>
    </w:p>
    <w:p>
      <w:pPr>
        <w:jc w:val="center"/>
      </w:pPr>
      <w:r>
        <w:rPr>
          <w:color w:val="B8862B"/>
          <w:sz w:val="21"/>
        </w:rPr>
        <w:t>Finca Miles, pressing and sensory standards</w:t>
      </w:r>
    </w:p>
    <w:p>
      <w:pPr>
        <w:spacing w:before="180" w:after="40"/>
      </w:pPr>
      <w:r>
        <w:rPr>
          <w:b/>
          <w:color w:val="5B6B2E"/>
          <w:sz w:val="24"/>
        </w:rPr>
        <w:t>1. Quality policy</w:t>
      </w:r>
    </w:p>
    <w:p>
      <w:pPr>
        <w:spacing w:after="80"/>
        <w:jc w:val="both"/>
      </w:pPr>
      <w:r>
        <w:rPr>
          <w:sz w:val="21"/>
        </w:rPr>
        <w:t>The estate's quality policy is simple: press a smaller harvest well rather than a larger one adequately. Every premium lot must qualify as extra-virgin by chemistry and by an accredited sensory panel, and must trace to its parcel and pressing. This manual records the standards that deliver that.</w:t>
      </w:r>
    </w:p>
    <w:p>
      <w:pPr>
        <w:spacing w:before="180" w:after="40"/>
      </w:pPr>
      <w:r>
        <w:rPr>
          <w:b/>
          <w:color w:val="5B6B2E"/>
          <w:sz w:val="24"/>
        </w:rPr>
        <w:t>2. From tree to press</w:t>
      </w:r>
    </w:p>
    <w:p>
      <w:pPr>
        <w:pStyle w:val="ListBullet"/>
        <w:spacing w:after="20"/>
      </w:pPr>
      <w:r>
        <w:rPr>
          <w:sz w:val="21"/>
        </w:rPr>
        <w:t>Pick at the target maturity for the lot's intended style (early and green for premium Picual).</w:t>
      </w:r>
    </w:p>
    <w:p>
      <w:pPr>
        <w:pStyle w:val="ListBullet"/>
        <w:spacing w:after="20"/>
      </w:pPr>
      <w:r>
        <w:rPr>
          <w:sz w:val="21"/>
        </w:rPr>
        <w:t>Mill within 24 hours of picking; sooner in warm weather.</w:t>
      </w:r>
    </w:p>
    <w:p>
      <w:pPr>
        <w:pStyle w:val="ListBullet"/>
        <w:spacing w:after="20"/>
      </w:pPr>
      <w:r>
        <w:rPr>
          <w:sz w:val="21"/>
        </w:rPr>
        <w:t>Keep fruit cool and ventilated between picking and milling.</w:t>
      </w:r>
    </w:p>
    <w:p>
      <w:pPr>
        <w:pStyle w:val="ListBullet"/>
        <w:spacing w:after="20"/>
      </w:pPr>
      <w:r>
        <w:rPr>
          <w:sz w:val="21"/>
        </w:rPr>
        <w:t>Clean leaves and debris before milling.</w:t>
      </w:r>
    </w:p>
    <w:p>
      <w:pPr>
        <w:spacing w:before="180" w:after="40"/>
      </w:pPr>
      <w:r>
        <w:rPr>
          <w:b/>
          <w:color w:val="5B6B2E"/>
          <w:sz w:val="24"/>
        </w:rPr>
        <w:t>3. Extraction standard</w:t>
      </w:r>
    </w:p>
    <w:p>
      <w:pPr>
        <w:pStyle w:val="ListBullet"/>
        <w:spacing w:after="20"/>
      </w:pPr>
      <w:r>
        <w:rPr>
          <w:sz w:val="21"/>
        </w:rPr>
        <w:t>Cold extraction: malaxation temperature held around 24 degrees.</w:t>
      </w:r>
    </w:p>
    <w:p>
      <w:pPr>
        <w:pStyle w:val="ListBullet"/>
        <w:spacing w:after="20"/>
      </w:pPr>
      <w:r>
        <w:rPr>
          <w:sz w:val="21"/>
        </w:rPr>
        <w:t>Two-phase decanter; minimal added water.</w:t>
      </w:r>
    </w:p>
    <w:p>
      <w:pPr>
        <w:pStyle w:val="ListBullet"/>
        <w:spacing w:after="20"/>
      </w:pPr>
      <w:r>
        <w:rPr>
          <w:sz w:val="21"/>
        </w:rPr>
        <w:t>Press premium, pool and organic-transition fruit in segregated runs.</w:t>
      </w:r>
    </w:p>
    <w:p>
      <w:pPr>
        <w:pStyle w:val="ListBullet"/>
        <w:spacing w:after="20"/>
      </w:pPr>
      <w:r>
        <w:rPr>
          <w:sz w:val="21"/>
        </w:rPr>
        <w:t>Settle and rack; light filtration on demand for clarity.</w:t>
      </w:r>
    </w:p>
    <w:p>
      <w:pPr>
        <w:spacing w:before="180" w:after="40"/>
      </w:pPr>
      <w:r>
        <w:rPr>
          <w:b/>
          <w:color w:val="5B6B2E"/>
          <w:sz w:val="24"/>
        </w:rPr>
        <w:t>4. Quality limits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5B6B2E"/>
          </w:tcPr>
          <w:p>
            <w:r>
              <w:rPr>
                <w:b/>
                <w:color w:val="FFFFFF"/>
              </w:rPr>
            </w:r>
            <w:r>
              <w:rPr>
                <w:b/>
                <w:color w:val="FFFFFF"/>
                <w:sz w:val="17"/>
              </w:rPr>
              <w:t>Parameter</w:t>
            </w:r>
          </w:p>
        </w:tc>
        <w:tc>
          <w:tcPr>
            <w:tcW w:type="dxa" w:w="3120"/>
            <w:shd w:val="clear" w:fill="5B6B2E"/>
          </w:tcPr>
          <w:p>
            <w:r>
              <w:rPr>
                <w:b/>
                <w:color w:val="FFFFFF"/>
              </w:rPr>
            </w:r>
            <w:r>
              <w:rPr>
                <w:b/>
                <w:color w:val="FFFFFF"/>
                <w:sz w:val="17"/>
              </w:rPr>
              <w:t>EVOO limit</w:t>
            </w:r>
          </w:p>
        </w:tc>
        <w:tc>
          <w:tcPr>
            <w:tcW w:type="dxa" w:w="3120"/>
            <w:shd w:val="clear" w:fill="5B6B2E"/>
          </w:tcPr>
          <w:p>
            <w:r>
              <w:rPr>
                <w:b/>
                <w:color w:val="FFFFFF"/>
              </w:rPr>
            </w:r>
            <w:r>
              <w:rPr>
                <w:b/>
                <w:color w:val="FFFFFF"/>
                <w:sz w:val="17"/>
              </w:rPr>
              <w:t>Estate premium target</w:t>
            </w:r>
          </w:p>
        </w:tc>
      </w:tr>
      <w:tr>
        <w:tc>
          <w:tcPr>
            <w:tcW w:type="dxa" w:w="3120"/>
          </w:tcPr>
          <w:p>
            <w:r/>
            <w:r>
              <w:rPr>
                <w:sz w:val="17"/>
              </w:rPr>
              <w:t>Free acidity (%)</w:t>
            </w:r>
          </w:p>
        </w:tc>
        <w:tc>
          <w:tcPr>
            <w:tcW w:type="dxa" w:w="3120"/>
          </w:tcPr>
          <w:p>
            <w:r/>
            <w:r>
              <w:rPr>
                <w:sz w:val="17"/>
              </w:rPr>
              <w:t>&lt;= 0.80</w:t>
            </w:r>
          </w:p>
        </w:tc>
        <w:tc>
          <w:tcPr>
            <w:tcW w:type="dxa" w:w="3120"/>
          </w:tcPr>
          <w:p>
            <w:r/>
            <w:r>
              <w:rPr>
                <w:sz w:val="17"/>
              </w:rPr>
              <w:t>&lt;= 0.20</w:t>
            </w:r>
          </w:p>
        </w:tc>
      </w:tr>
      <w:tr>
        <w:tc>
          <w:tcPr>
            <w:tcW w:type="dxa" w:w="3120"/>
          </w:tcPr>
          <w:p>
            <w:r/>
            <w:r>
              <w:rPr>
                <w:sz w:val="17"/>
              </w:rPr>
              <w:t>Peroxide (meq O2/kg)</w:t>
            </w:r>
          </w:p>
        </w:tc>
        <w:tc>
          <w:tcPr>
            <w:tcW w:type="dxa" w:w="3120"/>
          </w:tcPr>
          <w:p>
            <w:r/>
            <w:r>
              <w:rPr>
                <w:sz w:val="17"/>
              </w:rPr>
              <w:t>&lt;= 20</w:t>
            </w:r>
          </w:p>
        </w:tc>
        <w:tc>
          <w:tcPr>
            <w:tcW w:type="dxa" w:w="3120"/>
          </w:tcPr>
          <w:p>
            <w:r/>
            <w:r>
              <w:rPr>
                <w:sz w:val="17"/>
              </w:rPr>
              <w:t>&lt;= 8</w:t>
            </w:r>
          </w:p>
        </w:tc>
      </w:tr>
      <w:tr>
        <w:tc>
          <w:tcPr>
            <w:tcW w:type="dxa" w:w="3120"/>
          </w:tcPr>
          <w:p>
            <w:r/>
            <w:r>
              <w:rPr>
                <w:sz w:val="17"/>
              </w:rPr>
              <w:t>K270</w:t>
            </w:r>
          </w:p>
        </w:tc>
        <w:tc>
          <w:tcPr>
            <w:tcW w:type="dxa" w:w="3120"/>
          </w:tcPr>
          <w:p>
            <w:r/>
            <w:r>
              <w:rPr>
                <w:sz w:val="17"/>
              </w:rPr>
              <w:t>&lt;= 0.22</w:t>
            </w:r>
          </w:p>
        </w:tc>
        <w:tc>
          <w:tcPr>
            <w:tcW w:type="dxa" w:w="3120"/>
          </w:tcPr>
          <w:p>
            <w:r/>
            <w:r>
              <w:rPr>
                <w:sz w:val="17"/>
              </w:rPr>
              <w:t>&lt;= 0.15</w:t>
            </w:r>
          </w:p>
        </w:tc>
      </w:tr>
      <w:tr>
        <w:tc>
          <w:tcPr>
            <w:tcW w:type="dxa" w:w="3120"/>
          </w:tcPr>
          <w:p>
            <w:r/>
            <w:r>
              <w:rPr>
                <w:sz w:val="17"/>
              </w:rPr>
              <w:t>Sensory defect</w:t>
            </w:r>
          </w:p>
        </w:tc>
        <w:tc>
          <w:tcPr>
            <w:tcW w:type="dxa" w:w="3120"/>
          </w:tcPr>
          <w:p>
            <w:r/>
            <w:r>
              <w:rPr>
                <w:sz w:val="17"/>
              </w:rPr>
              <w:t>0 (median)</w:t>
            </w:r>
          </w:p>
        </w:tc>
        <w:tc>
          <w:tcPr>
            <w:tcW w:type="dxa" w:w="3120"/>
          </w:tcPr>
          <w:p>
            <w:r/>
            <w:r>
              <w:rPr>
                <w:sz w:val="17"/>
              </w:rPr>
              <w:t>0</w:t>
            </w:r>
          </w:p>
        </w:tc>
      </w:tr>
      <w:tr>
        <w:tc>
          <w:tcPr>
            <w:tcW w:type="dxa" w:w="3120"/>
          </w:tcPr>
          <w:p>
            <w:r/>
            <w:r>
              <w:rPr>
                <w:sz w:val="17"/>
              </w:rPr>
              <w:t>Sensory panel</w:t>
            </w:r>
          </w:p>
        </w:tc>
        <w:tc>
          <w:tcPr>
            <w:tcW w:type="dxa" w:w="3120"/>
          </w:tcPr>
          <w:p>
            <w:r/>
            <w:r>
              <w:rPr>
                <w:sz w:val="17"/>
              </w:rPr>
              <w:t>-</w:t>
            </w:r>
          </w:p>
        </w:tc>
        <w:tc>
          <w:tcPr>
            <w:tcW w:type="dxa" w:w="3120"/>
          </w:tcPr>
          <w:p>
            <w:r/>
            <w:r>
              <w:rPr>
                <w:sz w:val="17"/>
              </w:rPr>
              <w:t>&gt; 85 / 100</w:t>
            </w:r>
          </w:p>
        </w:tc>
      </w:tr>
    </w:tbl>
    <w:p>
      <w:pPr>
        <w:spacing w:after="40"/>
      </w:pPr>
    </w:p>
    <w:p>
      <w:r>
        <w:br w:type="page"/>
      </w:r>
    </w:p>
    <w:p>
      <w:pPr>
        <w:spacing w:before="180" w:after="40"/>
      </w:pPr>
      <w:r>
        <w:rPr>
          <w:b/>
          <w:color w:val="5B6B2E"/>
          <w:sz w:val="24"/>
        </w:rPr>
        <w:t>5. Sampling and laboratory</w:t>
      </w:r>
    </w:p>
    <w:p>
      <w:pPr>
        <w:spacing w:after="80"/>
        <w:jc w:val="both"/>
      </w:pPr>
      <w:r>
        <w:rPr>
          <w:sz w:val="21"/>
        </w:rPr>
        <w:t>Premium lots are sampled and sent to an accredited laboratory for the full panel: free acidity, peroxide value, ultraviolet absorbances (K232, K270, delta-K), ethyl esters, polyphenols and an accredited sensory assessment. The flagship lot MIL-2526-006 this season returned acidity 0.16 percent, peroxide 5.2 and a panel score of 86.5.</w:t>
      </w:r>
    </w:p>
    <w:p>
      <w:pPr>
        <w:spacing w:before="180" w:after="40"/>
      </w:pPr>
      <w:r>
        <w:rPr>
          <w:b/>
          <w:color w:val="5B6B2E"/>
          <w:sz w:val="24"/>
        </w:rPr>
        <w:t>6. Certificate of Analysis</w:t>
      </w:r>
    </w:p>
    <w:p>
      <w:pPr>
        <w:spacing w:after="80"/>
        <w:jc w:val="both"/>
      </w:pPr>
      <w:r>
        <w:rPr>
          <w:sz w:val="21"/>
        </w:rPr>
        <w:t>Each premium lot's Certificate of Analysis is filed against its lot id and travels with the oil to premium and export buyers. The full per-lot chemistry is maintained in the quality tracker (workbook X08), and a worked certificate is issued as a standalone document (PDF P03).</w:t>
      </w:r>
    </w:p>
    <w:p>
      <w:pPr>
        <w:spacing w:before="180" w:after="40"/>
      </w:pPr>
      <w:r>
        <w:rPr>
          <w:b/>
          <w:color w:val="5B6B2E"/>
          <w:sz w:val="24"/>
        </w:rPr>
        <w:t>7. Sensory vocabulary</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Attribute</w:t>
            </w:r>
          </w:p>
        </w:tc>
        <w:tc>
          <w:tcPr>
            <w:tcW w:type="dxa" w:w="4680"/>
            <w:shd w:val="clear" w:fill="5B6B2E"/>
          </w:tcPr>
          <w:p>
            <w:r>
              <w:rPr>
                <w:b/>
                <w:color w:val="FFFFFF"/>
              </w:rPr>
            </w:r>
            <w:r>
              <w:rPr>
                <w:b/>
                <w:color w:val="FFFFFF"/>
                <w:sz w:val="17"/>
              </w:rPr>
              <w:t>Meaning</w:t>
            </w:r>
          </w:p>
        </w:tc>
      </w:tr>
      <w:tr>
        <w:tc>
          <w:tcPr>
            <w:tcW w:type="dxa" w:w="4680"/>
          </w:tcPr>
          <w:p>
            <w:r/>
            <w:r>
              <w:rPr>
                <w:sz w:val="17"/>
              </w:rPr>
              <w:t>Fruity</w:t>
            </w:r>
          </w:p>
        </w:tc>
        <w:tc>
          <w:tcPr>
            <w:tcW w:type="dxa" w:w="4680"/>
          </w:tcPr>
          <w:p>
            <w:r/>
            <w:r>
              <w:rPr>
                <w:sz w:val="17"/>
              </w:rPr>
              <w:t>aroma of fresh, sound olives (green or ripe)</w:t>
            </w:r>
          </w:p>
        </w:tc>
      </w:tr>
      <w:tr>
        <w:tc>
          <w:tcPr>
            <w:tcW w:type="dxa" w:w="4680"/>
          </w:tcPr>
          <w:p>
            <w:r/>
            <w:r>
              <w:rPr>
                <w:sz w:val="17"/>
              </w:rPr>
              <w:t>Bitter</w:t>
            </w:r>
          </w:p>
        </w:tc>
        <w:tc>
          <w:tcPr>
            <w:tcW w:type="dxa" w:w="4680"/>
          </w:tcPr>
          <w:p>
            <w:r/>
            <w:r>
              <w:rPr>
                <w:sz w:val="17"/>
              </w:rPr>
              <w:t>taste of green fruit; a positive in early oil</w:t>
            </w:r>
          </w:p>
        </w:tc>
      </w:tr>
      <w:tr>
        <w:tc>
          <w:tcPr>
            <w:tcW w:type="dxa" w:w="4680"/>
          </w:tcPr>
          <w:p>
            <w:r/>
            <w:r>
              <w:rPr>
                <w:sz w:val="17"/>
              </w:rPr>
              <w:t>Pungent</w:t>
            </w:r>
          </w:p>
        </w:tc>
        <w:tc>
          <w:tcPr>
            <w:tcW w:type="dxa" w:w="4680"/>
          </w:tcPr>
          <w:p>
            <w:r/>
            <w:r>
              <w:rPr>
                <w:sz w:val="17"/>
              </w:rPr>
              <w:t>peppery throat sensation; high in fresh Picual</w:t>
            </w:r>
          </w:p>
        </w:tc>
      </w:tr>
      <w:tr>
        <w:tc>
          <w:tcPr>
            <w:tcW w:type="dxa" w:w="4680"/>
          </w:tcPr>
          <w:p>
            <w:r/>
            <w:r>
              <w:rPr>
                <w:sz w:val="17"/>
              </w:rPr>
              <w:t>Defect</w:t>
            </w:r>
          </w:p>
        </w:tc>
        <w:tc>
          <w:tcPr>
            <w:tcW w:type="dxa" w:w="4680"/>
          </w:tcPr>
          <w:p>
            <w:r/>
            <w:r>
              <w:rPr>
                <w:sz w:val="17"/>
              </w:rPr>
              <w:t>fustiness, mustiness, rancidity, none permitted in EVOO</w:t>
            </w:r>
          </w:p>
        </w:tc>
      </w:tr>
    </w:tbl>
    <w:p>
      <w:pPr>
        <w:spacing w:after="40"/>
      </w:pPr>
    </w:p>
    <w:p>
      <w:r>
        <w:br w:type="page"/>
      </w:r>
    </w:p>
    <w:p>
      <w:pPr>
        <w:spacing w:before="180" w:after="40"/>
      </w:pPr>
      <w:r>
        <w:rPr>
          <w:b/>
          <w:color w:val="5B6B2E"/>
          <w:sz w:val="24"/>
        </w:rPr>
        <w:t>8. Storage and dispatch</w:t>
      </w:r>
    </w:p>
    <w:p>
      <w:pPr>
        <w:pStyle w:val="ListBullet"/>
        <w:spacing w:after="20"/>
      </w:pPr>
      <w:r>
        <w:rPr>
          <w:sz w:val="21"/>
        </w:rPr>
        <w:t>Store oil cool (below 18 C) and dark; keep tanks topped and sealed.</w:t>
      </w:r>
    </w:p>
    <w:p>
      <w:pPr>
        <w:pStyle w:val="ListBullet"/>
        <w:spacing w:after="20"/>
      </w:pPr>
      <w:r>
        <w:rPr>
          <w:sz w:val="21"/>
        </w:rPr>
        <w:t>Bottle and tin to order to preserve freshness and polyphenols.</w:t>
      </w:r>
    </w:p>
    <w:p>
      <w:pPr>
        <w:pStyle w:val="ListBullet"/>
        <w:spacing w:after="20"/>
      </w:pPr>
      <w:r>
        <w:rPr>
          <w:sz w:val="21"/>
        </w:rPr>
        <w:t>Label premium units with the parcel-and-lot reference.</w:t>
      </w:r>
    </w:p>
    <w:p>
      <w:pPr>
        <w:pStyle w:val="ListBullet"/>
        <w:spacing w:after="20"/>
      </w:pPr>
      <w:r>
        <w:rPr>
          <w:sz w:val="21"/>
        </w:rPr>
        <w:t>Dispatch premium and export oil with its Certificate of Analysis.</w:t>
      </w:r>
    </w:p>
    <w:p>
      <w:pPr>
        <w:spacing w:before="180" w:after="40"/>
      </w:pPr>
      <w:r>
        <w:rPr>
          <w:b/>
          <w:color w:val="5B6B2E"/>
          <w:sz w:val="24"/>
        </w:rPr>
        <w:t>9. Continuous improvement</w:t>
      </w:r>
    </w:p>
    <w:p>
      <w:pPr>
        <w:spacing w:after="80"/>
        <w:jc w:val="both"/>
      </w:pPr>
      <w:r>
        <w:rPr>
          <w:sz w:val="21"/>
        </w:rPr>
        <w:t>Quality results are reviewed lot by lot and season over season. Where the panel or chemistry flags a weakness, a later lot drifting up in acidity, say, the cause is traced to maturity, timing or handling and corrected the following season. The aim is to hold premium sensory scores above 85.</w:t>
      </w:r>
    </w:p>
    <w:p>
      <w:pPr>
        <w:spacing w:before="180" w:after="40"/>
      </w:pPr>
      <w:r>
        <w:rPr>
          <w:b/>
          <w:color w:val="5B6B2E"/>
          <w:sz w:val="24"/>
        </w:rPr>
        <w:t>10. Responsibilities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Role</w:t>
            </w:r>
          </w:p>
        </w:tc>
        <w:tc>
          <w:tcPr>
            <w:tcW w:type="dxa" w:w="4680"/>
            <w:shd w:val="clear" w:fill="5B6B2E"/>
          </w:tcPr>
          <w:p>
            <w:r>
              <w:rPr>
                <w:b/>
                <w:color w:val="FFFFFF"/>
              </w:rPr>
            </w:r>
            <w:r>
              <w:rPr>
                <w:b/>
                <w:color w:val="FFFFFF"/>
                <w:sz w:val="17"/>
              </w:rPr>
              <w:t>Quality responsibility</w:t>
            </w:r>
          </w:p>
        </w:tc>
      </w:tr>
      <w:tr>
        <w:tc>
          <w:tcPr>
            <w:tcW w:type="dxa" w:w="4680"/>
          </w:tcPr>
          <w:p>
            <w:r/>
            <w:r>
              <w:rPr>
                <w:sz w:val="17"/>
              </w:rPr>
              <w:t>Min Miles Park</w:t>
            </w:r>
          </w:p>
        </w:tc>
        <w:tc>
          <w:tcPr>
            <w:tcW w:type="dxa" w:w="4680"/>
          </w:tcPr>
          <w:p>
            <w:r/>
            <w:r>
              <w:rPr>
                <w:sz w:val="17"/>
              </w:rPr>
              <w:t>final quality sign-off; pressing and sampling</w:t>
            </w:r>
          </w:p>
        </w:tc>
      </w:tr>
      <w:tr>
        <w:tc>
          <w:tcPr>
            <w:tcW w:type="dxa" w:w="4680"/>
          </w:tcPr>
          <w:p>
            <w:r/>
            <w:r>
              <w:rPr>
                <w:sz w:val="17"/>
              </w:rPr>
              <w:t>Pedro Serrano</w:t>
            </w:r>
          </w:p>
        </w:tc>
        <w:tc>
          <w:tcPr>
            <w:tcW w:type="dxa" w:w="4680"/>
          </w:tcPr>
          <w:p>
            <w:r/>
            <w:r>
              <w:rPr>
                <w:sz w:val="17"/>
              </w:rPr>
              <w:t>picking timing and fruit handling</w:t>
            </w:r>
          </w:p>
        </w:tc>
      </w:tr>
      <w:tr>
        <w:tc>
          <w:tcPr>
            <w:tcW w:type="dxa" w:w="4680"/>
          </w:tcPr>
          <w:p>
            <w:r/>
            <w:r>
              <w:rPr>
                <w:sz w:val="17"/>
              </w:rPr>
              <w:t>Soon-Hee Park</w:t>
            </w:r>
          </w:p>
        </w:tc>
        <w:tc>
          <w:tcPr>
            <w:tcW w:type="dxa" w:w="4680"/>
          </w:tcPr>
          <w:p>
            <w:r/>
            <w:r>
              <w:rPr>
                <w:sz w:val="17"/>
              </w:rPr>
              <w:t>traditional tasting input</w:t>
            </w:r>
          </w:p>
        </w:tc>
      </w:tr>
      <w:tr>
        <w:tc>
          <w:tcPr>
            <w:tcW w:type="dxa" w:w="4680"/>
          </w:tcPr>
          <w:p>
            <w:r/>
            <w:r>
              <w:rPr>
                <w:sz w:val="17"/>
              </w:rPr>
              <w:t>Prof. Maria Castillo (UCO)</w:t>
            </w:r>
          </w:p>
        </w:tc>
        <w:tc>
          <w:tcPr>
            <w:tcW w:type="dxa" w:w="4680"/>
          </w:tcPr>
          <w:p>
            <w:r/>
            <w:r>
              <w:rPr>
                <w:sz w:val="17"/>
              </w:rPr>
              <w:t>pre-harvest condition and pest pressure</w:t>
            </w:r>
          </w:p>
        </w:tc>
      </w:tr>
    </w:tbl>
    <w:p>
      <w:pPr>
        <w:spacing w:after="40"/>
      </w:pPr>
    </w:p>
    <w:p>
      <w:r>
        <w:br w:type="page"/>
      </w:r>
    </w:p>
    <w:p>
      <w:pPr>
        <w:spacing w:before="180" w:after="40"/>
      </w:pPr>
      <w:r>
        <w:rPr>
          <w:b/>
          <w:color w:val="5B6B2E"/>
          <w:sz w:val="24"/>
        </w:rPr>
        <w:t>11. Flagship lot, reference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5B6B2E"/>
          </w:tcPr>
          <w:p>
            <w:r>
              <w:rPr>
                <w:b/>
                <w:color w:val="FFFFFF"/>
              </w:rPr>
            </w:r>
            <w:r>
              <w:rPr>
                <w:b/>
                <w:color w:val="FFFFFF"/>
                <w:sz w:val="17"/>
              </w:rPr>
              <w:t>Parameter</w:t>
            </w:r>
          </w:p>
        </w:tc>
        <w:tc>
          <w:tcPr>
            <w:tcW w:type="dxa" w:w="3120"/>
            <w:shd w:val="clear" w:fill="5B6B2E"/>
          </w:tcPr>
          <w:p>
            <w:r>
              <w:rPr>
                <w:b/>
                <w:color w:val="FFFFFF"/>
              </w:rPr>
            </w:r>
            <w:r>
              <w:rPr>
                <w:b/>
                <w:color w:val="FFFFFF"/>
                <w:sz w:val="17"/>
              </w:rPr>
              <w:t>Result</w:t>
            </w:r>
          </w:p>
        </w:tc>
        <w:tc>
          <w:tcPr>
            <w:tcW w:type="dxa" w:w="3120"/>
            <w:shd w:val="clear" w:fill="5B6B2E"/>
          </w:tcPr>
          <w:p>
            <w:r>
              <w:rPr>
                <w:b/>
                <w:color w:val="FFFFFF"/>
              </w:rPr>
            </w:r>
            <w:r>
              <w:rPr>
                <w:b/>
                <w:color w:val="FFFFFF"/>
                <w:sz w:val="17"/>
              </w:rPr>
              <w:t>EVOO limit</w:t>
            </w:r>
          </w:p>
        </w:tc>
      </w:tr>
      <w:tr>
        <w:tc>
          <w:tcPr>
            <w:tcW w:type="dxa" w:w="3120"/>
          </w:tcPr>
          <w:p>
            <w:r/>
            <w:r>
              <w:rPr>
                <w:sz w:val="17"/>
              </w:rPr>
              <w:t>Free acidity (%)</w:t>
            </w:r>
          </w:p>
        </w:tc>
        <w:tc>
          <w:tcPr>
            <w:tcW w:type="dxa" w:w="3120"/>
          </w:tcPr>
          <w:p>
            <w:r/>
            <w:r>
              <w:rPr>
                <w:sz w:val="17"/>
              </w:rPr>
              <w:t>0.16</w:t>
            </w:r>
          </w:p>
        </w:tc>
        <w:tc>
          <w:tcPr>
            <w:tcW w:type="dxa" w:w="3120"/>
          </w:tcPr>
          <w:p>
            <w:r/>
            <w:r>
              <w:rPr>
                <w:sz w:val="17"/>
              </w:rPr>
              <w:t>&lt;= 0.80</w:t>
            </w:r>
          </w:p>
        </w:tc>
      </w:tr>
      <w:tr>
        <w:tc>
          <w:tcPr>
            <w:tcW w:type="dxa" w:w="3120"/>
          </w:tcPr>
          <w:p>
            <w:r/>
            <w:r>
              <w:rPr>
                <w:sz w:val="17"/>
              </w:rPr>
              <w:t>Peroxide (meq O2/kg)</w:t>
            </w:r>
          </w:p>
        </w:tc>
        <w:tc>
          <w:tcPr>
            <w:tcW w:type="dxa" w:w="3120"/>
          </w:tcPr>
          <w:p>
            <w:r/>
            <w:r>
              <w:rPr>
                <w:sz w:val="17"/>
              </w:rPr>
              <w:t>5.2</w:t>
            </w:r>
          </w:p>
        </w:tc>
        <w:tc>
          <w:tcPr>
            <w:tcW w:type="dxa" w:w="3120"/>
          </w:tcPr>
          <w:p>
            <w:r/>
            <w:r>
              <w:rPr>
                <w:sz w:val="17"/>
              </w:rPr>
              <w:t>&lt;= 20</w:t>
            </w:r>
          </w:p>
        </w:tc>
      </w:tr>
      <w:tr>
        <w:tc>
          <w:tcPr>
            <w:tcW w:type="dxa" w:w="3120"/>
          </w:tcPr>
          <w:p>
            <w:r/>
            <w:r>
              <w:rPr>
                <w:sz w:val="17"/>
              </w:rPr>
              <w:t>K270</w:t>
            </w:r>
          </w:p>
        </w:tc>
        <w:tc>
          <w:tcPr>
            <w:tcW w:type="dxa" w:w="3120"/>
          </w:tcPr>
          <w:p>
            <w:r/>
            <w:r>
              <w:rPr>
                <w:sz w:val="17"/>
              </w:rPr>
              <w:t>0.12</w:t>
            </w:r>
          </w:p>
        </w:tc>
        <w:tc>
          <w:tcPr>
            <w:tcW w:type="dxa" w:w="3120"/>
          </w:tcPr>
          <w:p>
            <w:r/>
            <w:r>
              <w:rPr>
                <w:sz w:val="17"/>
              </w:rPr>
              <w:t>&lt;= 0.22</w:t>
            </w:r>
          </w:p>
        </w:tc>
      </w:tr>
      <w:tr>
        <w:tc>
          <w:tcPr>
            <w:tcW w:type="dxa" w:w="3120"/>
          </w:tcPr>
          <w:p>
            <w:r/>
            <w:r>
              <w:rPr>
                <w:sz w:val="17"/>
              </w:rPr>
              <w:t>Polyphenols (mg/kg)</w:t>
            </w:r>
          </w:p>
        </w:tc>
        <w:tc>
          <w:tcPr>
            <w:tcW w:type="dxa" w:w="3120"/>
          </w:tcPr>
          <w:p>
            <w:r/>
            <w:r>
              <w:rPr>
                <w:sz w:val="17"/>
              </w:rPr>
              <w:t>612</w:t>
            </w:r>
          </w:p>
        </w:tc>
        <w:tc>
          <w:tcPr>
            <w:tcW w:type="dxa" w:w="3120"/>
          </w:tcPr>
          <w:p>
            <w:r/>
            <w:r>
              <w:rPr>
                <w:sz w:val="17"/>
              </w:rPr>
              <w:t>(quality)</w:t>
            </w:r>
          </w:p>
        </w:tc>
      </w:tr>
      <w:tr>
        <w:tc>
          <w:tcPr>
            <w:tcW w:type="dxa" w:w="3120"/>
          </w:tcPr>
          <w:p>
            <w:r/>
            <w:r>
              <w:rPr>
                <w:sz w:val="17"/>
              </w:rPr>
              <w:t>Panel score</w:t>
            </w:r>
          </w:p>
        </w:tc>
        <w:tc>
          <w:tcPr>
            <w:tcW w:type="dxa" w:w="3120"/>
          </w:tcPr>
          <w:p>
            <w:r/>
            <w:r>
              <w:rPr>
                <w:sz w:val="17"/>
              </w:rPr>
              <w:t>86.5 / 100</w:t>
            </w:r>
          </w:p>
        </w:tc>
        <w:tc>
          <w:tcPr>
            <w:tcW w:type="dxa" w:w="3120"/>
          </w:tcPr>
          <w:p>
            <w:r/>
            <w:r>
              <w:rPr>
                <w:sz w:val="17"/>
              </w:rPr>
              <w:t>-</w:t>
            </w:r>
          </w:p>
        </w:tc>
      </w:tr>
    </w:tbl>
    <w:p>
      <w:pPr>
        <w:spacing w:after="40"/>
      </w:pPr>
    </w:p>
    <w:p>
      <w:pPr>
        <w:spacing w:before="180" w:after="40"/>
      </w:pPr>
      <w:r>
        <w:rPr>
          <w:b/>
          <w:color w:val="5B6B2E"/>
          <w:sz w:val="24"/>
        </w:rPr>
        <w:t>12. Common faults and causes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5B6B2E"/>
          </w:tcPr>
          <w:p>
            <w:r>
              <w:rPr>
                <w:b/>
                <w:color w:val="FFFFFF"/>
              </w:rPr>
            </w:r>
            <w:r>
              <w:rPr>
                <w:b/>
                <w:color w:val="FFFFFF"/>
                <w:sz w:val="17"/>
              </w:rPr>
              <w:t>Fault</w:t>
            </w:r>
          </w:p>
        </w:tc>
        <w:tc>
          <w:tcPr>
            <w:tcW w:type="dxa" w:w="3120"/>
            <w:shd w:val="clear" w:fill="5B6B2E"/>
          </w:tcPr>
          <w:p>
            <w:r>
              <w:rPr>
                <w:b/>
                <w:color w:val="FFFFFF"/>
              </w:rPr>
            </w:r>
            <w:r>
              <w:rPr>
                <w:b/>
                <w:color w:val="FFFFFF"/>
                <w:sz w:val="17"/>
              </w:rPr>
              <w:t>Likely cause</w:t>
            </w:r>
          </w:p>
        </w:tc>
        <w:tc>
          <w:tcPr>
            <w:tcW w:type="dxa" w:w="3120"/>
            <w:shd w:val="clear" w:fill="5B6B2E"/>
          </w:tcPr>
          <w:p>
            <w:r>
              <w:rPr>
                <w:b/>
                <w:color w:val="FFFFFF"/>
              </w:rPr>
            </w:r>
            <w:r>
              <w:rPr>
                <w:b/>
                <w:color w:val="FFFFFF"/>
                <w:sz w:val="17"/>
              </w:rPr>
              <w:t>Prevention</w:t>
            </w:r>
          </w:p>
        </w:tc>
      </w:tr>
      <w:tr>
        <w:tc>
          <w:tcPr>
            <w:tcW w:type="dxa" w:w="3120"/>
          </w:tcPr>
          <w:p>
            <w:r/>
            <w:r>
              <w:rPr>
                <w:sz w:val="17"/>
              </w:rPr>
              <w:t>Rising acidity</w:t>
            </w:r>
          </w:p>
        </w:tc>
        <w:tc>
          <w:tcPr>
            <w:tcW w:type="dxa" w:w="3120"/>
          </w:tcPr>
          <w:p>
            <w:r/>
            <w:r>
              <w:rPr>
                <w:sz w:val="17"/>
              </w:rPr>
              <w:t>over-ripe or held fruit</w:t>
            </w:r>
          </w:p>
        </w:tc>
        <w:tc>
          <w:tcPr>
            <w:tcW w:type="dxa" w:w="3120"/>
          </w:tcPr>
          <w:p>
            <w:r/>
            <w:r>
              <w:rPr>
                <w:sz w:val="17"/>
              </w:rPr>
              <w:t>pick on time; mill same day</w:t>
            </w:r>
          </w:p>
        </w:tc>
      </w:tr>
      <w:tr>
        <w:tc>
          <w:tcPr>
            <w:tcW w:type="dxa" w:w="3120"/>
          </w:tcPr>
          <w:p>
            <w:r/>
            <w:r>
              <w:rPr>
                <w:sz w:val="17"/>
              </w:rPr>
              <w:t>Fusty / musty</w:t>
            </w:r>
          </w:p>
        </w:tc>
        <w:tc>
          <w:tcPr>
            <w:tcW w:type="dxa" w:w="3120"/>
          </w:tcPr>
          <w:p>
            <w:r/>
            <w:r>
              <w:rPr>
                <w:sz w:val="17"/>
              </w:rPr>
              <w:t>fruit piled or fermenting</w:t>
            </w:r>
          </w:p>
        </w:tc>
        <w:tc>
          <w:tcPr>
            <w:tcW w:type="dxa" w:w="3120"/>
          </w:tcPr>
          <w:p>
            <w:r/>
            <w:r>
              <w:rPr>
                <w:sz w:val="17"/>
              </w:rPr>
              <w:t>ventilate; mill within 24 h</w:t>
            </w:r>
          </w:p>
        </w:tc>
      </w:tr>
      <w:tr>
        <w:tc>
          <w:tcPr>
            <w:tcW w:type="dxa" w:w="3120"/>
          </w:tcPr>
          <w:p>
            <w:r/>
            <w:r>
              <w:rPr>
                <w:sz w:val="17"/>
              </w:rPr>
              <w:t>Rancid</w:t>
            </w:r>
          </w:p>
        </w:tc>
        <w:tc>
          <w:tcPr>
            <w:tcW w:type="dxa" w:w="3120"/>
          </w:tcPr>
          <w:p>
            <w:r/>
            <w:r>
              <w:rPr>
                <w:sz w:val="17"/>
              </w:rPr>
              <w:t>old oil, light, heat, air</w:t>
            </w:r>
          </w:p>
        </w:tc>
        <w:tc>
          <w:tcPr>
            <w:tcW w:type="dxa" w:w="3120"/>
          </w:tcPr>
          <w:p>
            <w:r/>
            <w:r>
              <w:rPr>
                <w:sz w:val="17"/>
              </w:rPr>
              <w:t>store cool and dark; bottle to order</w:t>
            </w:r>
          </w:p>
        </w:tc>
      </w:tr>
      <w:tr>
        <w:tc>
          <w:tcPr>
            <w:tcW w:type="dxa" w:w="3120"/>
          </w:tcPr>
          <w:p>
            <w:r/>
            <w:r>
              <w:rPr>
                <w:sz w:val="17"/>
              </w:rPr>
              <w:t>Flat / low pungency</w:t>
            </w:r>
          </w:p>
        </w:tc>
        <w:tc>
          <w:tcPr>
            <w:tcW w:type="dxa" w:w="3120"/>
          </w:tcPr>
          <w:p>
            <w:r/>
            <w:r>
              <w:rPr>
                <w:sz w:val="17"/>
              </w:rPr>
              <w:t>late, over-ripe fruit</w:t>
            </w:r>
          </w:p>
        </w:tc>
        <w:tc>
          <w:tcPr>
            <w:tcW w:type="dxa" w:w="3120"/>
          </w:tcPr>
          <w:p>
            <w:r/>
            <w:r>
              <w:rPr>
                <w:sz w:val="17"/>
              </w:rPr>
              <w:t>harvest earlier for premium</w:t>
            </w:r>
          </w:p>
        </w:tc>
      </w:tr>
    </w:tbl>
    <w:p>
      <w:pPr>
        <w:spacing w:after="40"/>
      </w:pPr>
    </w:p>
    <w:p>
      <w:pPr>
        <w:spacing w:before="180" w:after="40"/>
      </w:pPr>
      <w:r>
        <w:rPr>
          <w:b/>
          <w:color w:val="5B6B2E"/>
          <w:sz w:val="24"/>
        </w:rPr>
        <w:t>13. Audit of practice</w:t>
      </w:r>
    </w:p>
    <w:p>
      <w:pPr>
        <w:spacing w:after="80"/>
        <w:jc w:val="both"/>
      </w:pPr>
      <w:r>
        <w:rPr>
          <w:sz w:val="21"/>
        </w:rPr>
        <w:t>Once a season the owner reviews the pressing and sampling records against this manual, confirms the lab and accreditation are current, and updates the standards where the season's results or new knowledge warrant it.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666"/>
        <w:sz w:val="15"/>
      </w:rPr>
      <w:t>Finca Miles - Quality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8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