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i w:val="0"/>
          <w:sz w:val="22"/>
        </w:rPr>
        <w:t>1412 Bexley Drive, Silver Spring, MD 20902</w:t>
      </w:r>
    </w:p>
    <w:p>
      <w:r>
        <w:rPr>
          <w:rFonts w:ascii="Calibri" w:hAnsi="Calibri"/>
          <w:b w:val="0"/>
          <w:i w:val="0"/>
          <w:sz w:val="22"/>
        </w:rPr>
        <w:t>(301) 585-4419</w:t>
      </w:r>
    </w:p>
    <w:p/>
    <w:p>
      <w:r>
        <w:rPr>
          <w:rFonts w:ascii="Calibri" w:hAnsi="Calibri"/>
          <w:b w:val="0"/>
          <w:i w:val="0"/>
          <w:sz w:val="22"/>
        </w:rPr>
        <w:t>November 22, 2024</w:t>
      </w:r>
    </w:p>
    <w:p/>
    <w:p>
      <w:r>
        <w:rPr>
          <w:rFonts w:ascii="Calibri" w:hAnsi="Calibri"/>
          <w:b w:val="0"/>
          <w:i w:val="0"/>
          <w:sz w:val="22"/>
        </w:rPr>
        <w:t>Eric Nguyen</w:t>
      </w:r>
    </w:p>
    <w:p>
      <w:r>
        <w:rPr>
          <w:rFonts w:ascii="Calibri" w:hAnsi="Calibri"/>
          <w:b w:val="0"/>
          <w:i w:val="0"/>
          <w:sz w:val="22"/>
        </w:rPr>
        <w:t>4219 Woodfield Road, Bethesda, MD 20817</w:t>
      </w:r>
    </w:p>
    <w:p/>
    <w:p>
      <w:r>
        <w:rPr>
          <w:rFonts w:ascii="Calibri" w:hAnsi="Calibri"/>
          <w:b w:val="0"/>
          <w:i w:val="0"/>
          <w:sz w:val="22"/>
        </w:rPr>
        <w:t>Dear Eric,</w:t>
      </w:r>
    </w:p>
    <w:p/>
    <w:p>
      <w:r>
        <w:rPr>
          <w:rFonts w:ascii="Calibri" w:hAnsi="Calibri"/>
          <w:b w:val="0"/>
          <w:i w:val="0"/>
          <w:sz w:val="22"/>
        </w:rPr>
        <w:t>Your mother and I met with James Holloway last week to finalize the estate documents. I wanted to put this in writing while it is clear in my mind, so that you and Christine have a shared understanding of what was decided and why.</w:t>
      </w:r>
    </w:p>
    <w:p/>
    <w:p>
      <w:r>
        <w:rPr>
          <w:rFonts w:ascii="Calibri" w:hAnsi="Calibri"/>
          <w:b w:val="0"/>
          <w:i w:val="0"/>
          <w:sz w:val="22"/>
        </w:rPr>
        <w:t>The will leaves the house to your mother during her lifetime. After she passes, the property goes to you and Christine in equal shares. If one of you wants to buy the other out at that time, James says it is straightforward. The house is paid off and it is the largest asset we have outside of the retirement accounts.</w:t>
      </w:r>
    </w:p>
    <w:p/>
    <w:p>
      <w:r>
        <w:rPr>
          <w:rFonts w:ascii="Calibri" w:hAnsi="Calibri"/>
          <w:b w:val="0"/>
          <w:i w:val="0"/>
          <w:sz w:val="22"/>
        </w:rPr>
        <w:t>I have named you as my financial power of attorney. Christine holds the healthcare power of attorney. That arrangement reflects what each of you is best positioned to handle, not any difference in trust. I want you both consulted on anything that matters. Please make sure Christine is in the room on health decisions and that she hears from you on financial ones.</w:t>
      </w:r>
    </w:p>
    <w:p/>
    <w:p>
      <w:r>
        <w:rPr>
          <w:rFonts w:ascii="Calibri" w:hAnsi="Calibri"/>
          <w:b w:val="0"/>
          <w:i w:val="0"/>
          <w:sz w:val="22"/>
        </w:rPr>
        <w:t>The Vanguard accounts have beneficiary designations on file with Vanguard directly. You are listed at 50 percent, Christine at 50 percent. Eric, because you manage the accounts under the power of attorney, I am relying on you to make sure the designations stay current and that Christine receives her half without complication.</w:t>
      </w:r>
    </w:p>
    <w:p/>
    <w:p>
      <w:r>
        <w:rPr>
          <w:rFonts w:ascii="Calibri" w:hAnsi="Calibri"/>
          <w:b w:val="0"/>
          <w:i w:val="0"/>
          <w:sz w:val="22"/>
        </w:rPr>
        <w:t>The rosewood Staunton set on my desk - the one that has been in my study since before you were born - I have left that to Tony Jr. in the will. He has earned it. The tournament sets go to MACCF per my written instructions. I want the federation to keep playing with them.</w:t>
      </w:r>
    </w:p>
    <w:p/>
    <w:p>
      <w:r>
        <w:rPr>
          <w:rFonts w:ascii="Calibri" w:hAnsi="Calibri"/>
          <w:b w:val="0"/>
          <w:i w:val="0"/>
          <w:sz w:val="22"/>
        </w:rPr>
        <w:t>The 529 accounts for Michael and Sophie are co-managed by you and are structured separately from the estate. Keep contributing if you are able, and make sure Diane knows the account details in case anything happens to you before those funds are fully used.</w:t>
      </w:r>
    </w:p>
    <w:p/>
    <w:p>
      <w:r>
        <w:rPr>
          <w:rFonts w:ascii="Calibri" w:hAnsi="Calibri"/>
          <w:b w:val="0"/>
          <w:i w:val="0"/>
          <w:sz w:val="22"/>
        </w:rPr>
        <w:t>None of this is urgent. Your mother and I are well. But I spent a career drafting agreements that prevented misunderstandings, and I would rather you hear this clearly from me now than read it cold from a lawyer later. Call me Sunday after church.</w:t>
      </w:r>
    </w:p>
    <w:p/>
    <w:p>
      <w:r>
        <w:rPr>
          <w:rFonts w:ascii="Calibri" w:hAnsi="Calibri"/>
          <w:b w:val="0"/>
          <w:i w:val="0"/>
          <w:sz w:val="22"/>
        </w:rPr>
        <w:t>With love,</w:t>
      </w:r>
    </w:p>
    <w:p/>
    <w:p/>
    <w:p>
      <w:r>
        <w:rPr>
          <w:rFonts w:ascii="Calibri" w:hAnsi="Calibri"/>
          <w:b w:val="0"/>
          <w:i w:val="0"/>
          <w:sz w:val="22"/>
        </w:rPr>
        <w:t>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