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sz w:val="28"/>
        </w:rPr>
        <w:t>Personal Estate Planning Checklist</w:t>
      </w:r>
    </w:p>
    <w:p>
      <w:r>
        <w:rPr>
          <w:rFonts w:ascii="Calibri" w:hAnsi="Calibri"/>
          <w:b w:val="0"/>
          <w:i/>
          <w:sz w:val="20"/>
        </w:rPr>
        <w:t>Tony Michael Nguyen Sr.  |  1412 Bexley Drive, Silver Spring, MD 20902  |  Prepared November 2024</w:t>
      </w:r>
    </w:p>
    <w:p/>
    <w:p>
      <w:r>
        <w:rPr>
          <w:rFonts w:ascii="Calibri" w:hAnsi="Calibri"/>
          <w:b/>
          <w:i w:val="0"/>
          <w:sz w:val="24"/>
        </w:rPr>
        <w:t>Legal Documents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Last Will and Testament: </w:t>
      </w:r>
      <w:r>
        <w:rPr>
          <w:rFonts w:ascii="Calibri" w:hAnsi="Calibri"/>
          <w:b w:val="0"/>
          <w:i w:val="0"/>
          <w:sz w:val="22"/>
        </w:rPr>
        <w:t>Executed November 18, 2024. Attorney: James R. Holloway, 8720 Georgia Avenue Ste 210, Silver Spring MD. Filed in home safe. Copy with Eric Nguyen.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Durable Power of Attorney - Financial: </w:t>
      </w:r>
      <w:r>
        <w:rPr>
          <w:rFonts w:ascii="Calibri" w:hAnsi="Calibri"/>
          <w:b w:val="0"/>
          <w:i w:val="0"/>
          <w:sz w:val="22"/>
        </w:rPr>
        <w:t>Eric Nguyen (son), appointed November 18, 2024. Broad authority. Springing on incapacity.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Healthcare Power of Attorney / Medical POA: </w:t>
      </w:r>
      <w:r>
        <w:rPr>
          <w:rFonts w:ascii="Calibri" w:hAnsi="Calibri"/>
          <w:b w:val="0"/>
          <w:i w:val="0"/>
          <w:sz w:val="22"/>
        </w:rPr>
        <w:t>Christine Nguyen-Abrams (daughter), primary healthcare agent. Linda Tran Nguyen (spouse) named secondary. Executed November 18, 2024.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Advance Directive / Living Will: </w:t>
      </w:r>
      <w:r>
        <w:rPr>
          <w:rFonts w:ascii="Calibri" w:hAnsi="Calibri"/>
          <w:b w:val="0"/>
          <w:i w:val="0"/>
          <w:sz w:val="22"/>
        </w:rPr>
        <w:t>No extraordinary measures beyond comfort care if determined terminal with no reasonable recovery. Signed November 18, 2024.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HIPAA Authorization: </w:t>
      </w:r>
      <w:r>
        <w:rPr>
          <w:rFonts w:ascii="Calibri" w:hAnsi="Calibri"/>
          <w:b w:val="0"/>
          <w:i w:val="0"/>
          <w:sz w:val="22"/>
        </w:rPr>
        <w:t>Linda Tran Nguyen, Eric Nguyen, and Christine Nguyen-Abrams authorized to receive medical information.</w:t>
      </w:r>
    </w:p>
    <w:p/>
    <w:p>
      <w:r>
        <w:rPr>
          <w:rFonts w:ascii="Calibri" w:hAnsi="Calibri"/>
          <w:b/>
          <w:i w:val="0"/>
          <w:sz w:val="24"/>
        </w:rPr>
        <w:t>Financial Accounts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Bank of America Savings Account: </w:t>
      </w:r>
      <w:r>
        <w:rPr>
          <w:rFonts w:ascii="Calibri" w:hAnsi="Calibri"/>
          <w:b w:val="0"/>
          <w:i w:val="0"/>
          <w:sz w:val="22"/>
        </w:rPr>
        <w:t>Account ending 4310-9847-2. Joint with Linda. TOD beneficiary: Eric Nguyen 50%, Christine Nguyen-Abrams 50%.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Vanguard Investment Accounts: </w:t>
      </w:r>
      <w:r>
        <w:rPr>
          <w:rFonts w:ascii="Calibri" w:hAnsi="Calibri"/>
          <w:b w:val="0"/>
          <w:i w:val="0"/>
          <w:sz w:val="22"/>
        </w:rPr>
        <w:t>Managed by Eric Nguyen (Financial POA). Beneficiary designations on file with Vanguard. Eric 50%, Christine 50%. Total value approx. $154,000 (Q4 2025).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Foreign Service Retirement Annuity: </w:t>
      </w:r>
      <w:r>
        <w:rPr>
          <w:rFonts w:ascii="Calibri" w:hAnsi="Calibri"/>
          <w:b w:val="0"/>
          <w:i w:val="0"/>
          <w:sz w:val="22"/>
        </w:rPr>
        <w:t>Survivor annuity designated to Linda Tran Nguyen. Contact: OPM at (202) 606-0500.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Social Security: </w:t>
      </w:r>
      <w:r>
        <w:rPr>
          <w:rFonts w:ascii="Calibri" w:hAnsi="Calibri"/>
          <w:b w:val="0"/>
          <w:i w:val="0"/>
          <w:sz w:val="22"/>
        </w:rPr>
        <w:t>Linda eligible for survivor benefit upon Tony's death. No further action needed.</w:t>
      </w:r>
    </w:p>
    <w:p/>
    <w:p>
      <w:r>
        <w:rPr>
          <w:rFonts w:ascii="Calibri" w:hAnsi="Calibri"/>
          <w:b/>
          <w:i w:val="0"/>
          <w:sz w:val="24"/>
        </w:rPr>
        <w:t>Real Property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Primary Residence - 1412 Bexley Drive, Silver Spring MD 20902: </w:t>
      </w:r>
      <w:r>
        <w:rPr>
          <w:rFonts w:ascii="Calibri" w:hAnsi="Calibri"/>
          <w:b w:val="0"/>
          <w:i w:val="0"/>
          <w:sz w:val="22"/>
        </w:rPr>
        <w:t>Deed held jointly with Linda Tran Nguyen (right of survivorship). No mortgage. Deed filed Montgomery County Land Records. Upon Linda's passing, property passes to Eric and Christine in equal shares.</w:t>
      </w:r>
    </w:p>
    <w:p/>
    <w:p>
      <w:r>
        <w:rPr>
          <w:rFonts w:ascii="Calibri" w:hAnsi="Calibri"/>
          <w:b/>
          <w:i w:val="0"/>
          <w:sz w:val="24"/>
        </w:rPr>
        <w:t>Insurance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Homeowner's Insurance: </w:t>
      </w:r>
      <w:r>
        <w:rPr>
          <w:rFonts w:ascii="Calibri" w:hAnsi="Calibri"/>
          <w:b w:val="0"/>
          <w:i w:val="0"/>
          <w:sz w:val="22"/>
        </w:rPr>
        <w:t>Nationwide, Policy NW-HO-4419-2847-MD. Annual premium $1,740. Linda listed as co-insured.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Auto Insurance: </w:t>
      </w:r>
      <w:r>
        <w:rPr>
          <w:rFonts w:ascii="Calibri" w:hAnsi="Calibri"/>
          <w:b w:val="0"/>
          <w:i w:val="0"/>
          <w:sz w:val="22"/>
        </w:rPr>
        <w:t>State Farm, Policy SF-AUTO-882914-MD. Toyota Camry 2020. Premium $109.85/mo.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Medicare + Supplement: </w:t>
      </w:r>
      <w:r>
        <w:rPr>
          <w:rFonts w:ascii="Calibri" w:hAnsi="Calibri"/>
          <w:b w:val="0"/>
          <w:i w:val="0"/>
          <w:sz w:val="22"/>
        </w:rPr>
        <w:t>AARP/UnitedHealthcare Medicare Advantage. Premium $209.78/mo. Member ID on insurance card in wallet.</w:t>
      </w:r>
    </w:p>
    <w:p/>
    <w:p>
      <w:r>
        <w:rPr>
          <w:rFonts w:ascii="Calibri" w:hAnsi="Calibri"/>
          <w:b/>
          <w:i w:val="0"/>
          <w:sz w:val="24"/>
        </w:rPr>
        <w:t>Beneficiary Designations Review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Vanguard: </w:t>
      </w:r>
      <w:r>
        <w:rPr>
          <w:rFonts w:ascii="Calibri" w:hAnsi="Calibri"/>
          <w:b w:val="0"/>
          <w:i w:val="0"/>
          <w:sz w:val="22"/>
        </w:rPr>
        <w:t>Reviewed November 2024. Eric 50%, Christine 50%. Current.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Bank of America: </w:t>
      </w:r>
      <w:r>
        <w:rPr>
          <w:rFonts w:ascii="Calibri" w:hAnsi="Calibri"/>
          <w:b w:val="0"/>
          <w:i w:val="0"/>
          <w:sz w:val="22"/>
        </w:rPr>
        <w:t>Reviewed November 2024. Eric 50%, Christine 50%. Current.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OPM / Foreign Service Annuity: </w:t>
      </w:r>
      <w:r>
        <w:rPr>
          <w:rFonts w:ascii="Calibri" w:hAnsi="Calibri"/>
          <w:b w:val="0"/>
          <w:i w:val="0"/>
          <w:sz w:val="22"/>
        </w:rPr>
        <w:t>Linda as survivor. Current.</w:t>
      </w:r>
    </w:p>
    <w:p/>
    <w:p>
      <w:r>
        <w:rPr>
          <w:rFonts w:ascii="Calibri" w:hAnsi="Calibri"/>
          <w:b/>
          <w:i w:val="0"/>
          <w:sz w:val="24"/>
        </w:rPr>
        <w:t>Personal Property and Household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Chess Set Collection: </w:t>
      </w:r>
      <w:r>
        <w:rPr>
          <w:rFonts w:ascii="Calibri" w:hAnsi="Calibri"/>
          <w:b w:val="0"/>
          <w:i w:val="0"/>
          <w:sz w:val="22"/>
        </w:rPr>
        <w:t>Vintage Staunton set (rosewood, circa 1962): to Tony Nguyen Jr. (grandson) per will. Tournament sets: to MACCF collection per will.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Vehicle - 2020 Toyota Camry: </w:t>
      </w:r>
      <w:r>
        <w:rPr>
          <w:rFonts w:ascii="Calibri" w:hAnsi="Calibri"/>
          <w:b w:val="0"/>
          <w:i w:val="0"/>
          <w:sz w:val="22"/>
        </w:rPr>
        <w:t>VIN 4T1B11HKXLU487219. Title in Tony's name. To Linda per will.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Important Documents Location: </w:t>
      </w:r>
      <w:r>
        <w:rPr>
          <w:rFonts w:ascii="Calibri" w:hAnsi="Calibri"/>
          <w:b w:val="0"/>
          <w:i w:val="0"/>
          <w:sz w:val="22"/>
        </w:rPr>
        <w:t>Home safe (combination with Eric and Linda): original will, deeds, passports, SS cards, insurance policies, birth certificates.</w:t>
      </w:r>
    </w:p>
    <w:p/>
    <w:p>
      <w:r>
        <w:rPr>
          <w:rFonts w:ascii="Calibri" w:hAnsi="Calibri"/>
          <w:b/>
          <w:i w:val="0"/>
          <w:sz w:val="24"/>
        </w:rPr>
        <w:t>Outstanding Items - Action Required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 ]  Maryland College Investment Plan (529): </w:t>
      </w:r>
      <w:r>
        <w:rPr>
          <w:rFonts w:ascii="Calibri" w:hAnsi="Calibri"/>
          <w:b w:val="0"/>
          <w:i w:val="0"/>
          <w:sz w:val="22"/>
        </w:rPr>
        <w:t>Review beneficiary designations on Michael and Sophie accounts. Eric co-manages. Confirm successor account holder.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 ]  Digital Assets: </w:t>
      </w:r>
      <w:r>
        <w:rPr>
          <w:rFonts w:ascii="Calibri" w:hAnsi="Calibri"/>
          <w:b w:val="0"/>
          <w:i w:val="0"/>
          <w:sz w:val="22"/>
        </w:rPr>
        <w:t>Email passwords and Chess.com account login. Written note in home safe. Eric to manage upon incapacity.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