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i w:val="0"/>
          <w:sz w:val="28"/>
        </w:rPr>
        <w:t>MACCF Youth Chess Mentorship Program</w:t>
      </w:r>
    </w:p>
    <w:p>
      <w:r>
        <w:rPr>
          <w:rFonts w:ascii="Calibri" w:hAnsi="Calibri"/>
          <w:b/>
          <w:i w:val="0"/>
          <w:sz w:val="24"/>
        </w:rPr>
        <w:t>Annual Report - Program Year 2025</w:t>
      </w:r>
    </w:p>
    <w:p>
      <w:r>
        <w:rPr>
          <w:rFonts w:ascii="Calibri" w:hAnsi="Calibri"/>
          <w:b w:val="0"/>
          <w:i/>
          <w:sz w:val="20"/>
        </w:rPr>
        <w:t>Submitted by: Tony M. Nguyen Sr., Program Director  |  December 4, 2025</w:t>
      </w:r>
    </w:p>
    <w:p/>
    <w:p>
      <w:r>
        <w:rPr>
          <w:rFonts w:ascii="Calibri" w:hAnsi="Calibri"/>
          <w:b/>
          <w:i w:val="0"/>
          <w:sz w:val="24"/>
        </w:rPr>
        <w:t>Executive Summary</w:t>
      </w:r>
    </w:p>
    <w:p>
      <w:r>
        <w:rPr>
          <w:rFonts w:ascii="Calibri" w:hAnsi="Calibri"/>
          <w:b w:val="0"/>
          <w:i w:val="0"/>
          <w:sz w:val="22"/>
        </w:rPr>
        <w:t>The MACCF Youth Chess Mentorship Program completed its fourth year of operation in 2025. The program served 43 students across six Montgomery County middle schools, pairing each student with a certified volunteer mentor. 38 students completed the full program year. Session attendance averaged 88 percent. Four students competed at the MACCF Annual Open in the Scholastic section, with two advancing to the final round.</w:t>
      </w:r>
    </w:p>
    <w:p/>
    <w:p>
      <w:r>
        <w:rPr>
          <w:rFonts w:ascii="Calibri" w:hAnsi="Calibri"/>
          <w:b/>
          <w:i w:val="0"/>
          <w:sz w:val="24"/>
        </w:rPr>
        <w:t>Schools Served</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4E79"/>
          </w:tcPr>
          <w:p>
            <w:pPr>
              <w:jc w:val="center"/>
            </w:pPr>
            <w:r>
              <w:rPr>
                <w:rFonts w:ascii="Calibri" w:hAnsi="Calibri"/>
                <w:b/>
                <w:i w:val="0"/>
                <w:color w:val="FFFFFF"/>
                <w:sz w:val="20"/>
              </w:rPr>
              <w:t>School</w:t>
            </w:r>
          </w:p>
        </w:tc>
        <w:tc>
          <w:tcPr>
            <w:tcW w:type="dxa" w:w="3120"/>
            <w:shd w:val="clear" w:color="auto" w:fill="1F4E79"/>
          </w:tcPr>
          <w:p>
            <w:pPr>
              <w:jc w:val="center"/>
            </w:pPr>
            <w:r>
              <w:rPr>
                <w:rFonts w:ascii="Calibri" w:hAnsi="Calibri"/>
                <w:b/>
                <w:i w:val="0"/>
                <w:color w:val="FFFFFF"/>
                <w:sz w:val="20"/>
              </w:rPr>
              <w:t>Students Served</w:t>
            </w:r>
          </w:p>
        </w:tc>
        <w:tc>
          <w:tcPr>
            <w:tcW w:type="dxa" w:w="3120"/>
            <w:shd w:val="clear" w:color="auto" w:fill="1F4E79"/>
          </w:tcPr>
          <w:p>
            <w:pPr>
              <w:jc w:val="center"/>
            </w:pPr>
            <w:r>
              <w:rPr>
                <w:rFonts w:ascii="Calibri" w:hAnsi="Calibri"/>
                <w:b/>
                <w:i w:val="0"/>
                <w:color w:val="FFFFFF"/>
                <w:sz w:val="20"/>
              </w:rPr>
              <w:t>Mentors</w:t>
            </w:r>
          </w:p>
        </w:tc>
      </w:tr>
      <w:tr>
        <w:tc>
          <w:tcPr>
            <w:tcW w:type="dxa" w:w="3120"/>
          </w:tcPr>
          <w:p>
            <w:r>
              <w:rPr>
                <w:sz w:val="20"/>
              </w:rPr>
              <w:t>Sligo Creek Middle School</w:t>
            </w:r>
          </w:p>
        </w:tc>
        <w:tc>
          <w:tcPr>
            <w:tcW w:type="dxa" w:w="3120"/>
          </w:tcPr>
          <w:p>
            <w:pPr>
              <w:jc w:val="center"/>
            </w:pPr>
            <w:r>
              <w:rPr>
                <w:sz w:val="20"/>
              </w:rPr>
              <w:t>8 students</w:t>
            </w:r>
          </w:p>
        </w:tc>
        <w:tc>
          <w:tcPr>
            <w:tcW w:type="dxa" w:w="3120"/>
          </w:tcPr>
          <w:p>
            <w:r>
              <w:rPr>
                <w:sz w:val="20"/>
              </w:rPr>
              <w:t>Marcus Webb, Priya Nair, James Park</w:t>
            </w:r>
          </w:p>
        </w:tc>
      </w:tr>
      <w:tr>
        <w:tc>
          <w:tcPr>
            <w:tcW w:type="dxa" w:w="3120"/>
          </w:tcPr>
          <w:p>
            <w:r>
              <w:rPr>
                <w:sz w:val="20"/>
              </w:rPr>
              <w:t>Takoma Park Middle School</w:t>
            </w:r>
          </w:p>
        </w:tc>
        <w:tc>
          <w:tcPr>
            <w:tcW w:type="dxa" w:w="3120"/>
          </w:tcPr>
          <w:p>
            <w:pPr>
              <w:jc w:val="center"/>
            </w:pPr>
            <w:r>
              <w:rPr>
                <w:sz w:val="20"/>
              </w:rPr>
              <w:t>7 students</w:t>
            </w:r>
          </w:p>
        </w:tc>
        <w:tc>
          <w:tcPr>
            <w:tcW w:type="dxa" w:w="3120"/>
          </w:tcPr>
          <w:p>
            <w:r>
              <w:rPr>
                <w:sz w:val="20"/>
              </w:rPr>
              <w:t>Carol Simmons, David Ortega</w:t>
            </w:r>
          </w:p>
        </w:tc>
      </w:tr>
      <w:tr>
        <w:tc>
          <w:tcPr>
            <w:tcW w:type="dxa" w:w="3120"/>
          </w:tcPr>
          <w:p>
            <w:r>
              <w:rPr>
                <w:sz w:val="20"/>
              </w:rPr>
              <w:t>Eastern Middle School</w:t>
            </w:r>
          </w:p>
        </w:tc>
        <w:tc>
          <w:tcPr>
            <w:tcW w:type="dxa" w:w="3120"/>
          </w:tcPr>
          <w:p>
            <w:pPr>
              <w:jc w:val="center"/>
            </w:pPr>
            <w:r>
              <w:rPr>
                <w:sz w:val="20"/>
              </w:rPr>
              <w:t>6 students</w:t>
            </w:r>
          </w:p>
        </w:tc>
        <w:tc>
          <w:tcPr>
            <w:tcW w:type="dxa" w:w="3120"/>
          </w:tcPr>
          <w:p>
            <w:r>
              <w:rPr>
                <w:sz w:val="20"/>
              </w:rPr>
              <w:t>Kwame Mensah, Lisa Chen</w:t>
            </w:r>
          </w:p>
        </w:tc>
      </w:tr>
      <w:tr>
        <w:tc>
          <w:tcPr>
            <w:tcW w:type="dxa" w:w="3120"/>
          </w:tcPr>
          <w:p>
            <w:r>
              <w:rPr>
                <w:sz w:val="20"/>
              </w:rPr>
              <w:t>Newport Mill Middle School</w:t>
            </w:r>
          </w:p>
        </w:tc>
        <w:tc>
          <w:tcPr>
            <w:tcW w:type="dxa" w:w="3120"/>
          </w:tcPr>
          <w:p>
            <w:pPr>
              <w:jc w:val="center"/>
            </w:pPr>
            <w:r>
              <w:rPr>
                <w:sz w:val="20"/>
              </w:rPr>
              <w:t>6 students</w:t>
            </w:r>
          </w:p>
        </w:tc>
        <w:tc>
          <w:tcPr>
            <w:tcW w:type="dxa" w:w="3120"/>
          </w:tcPr>
          <w:p>
            <w:r>
              <w:rPr>
                <w:sz w:val="20"/>
              </w:rPr>
              <w:t>Robin Price, Howard Salter</w:t>
            </w:r>
          </w:p>
        </w:tc>
      </w:tr>
      <w:tr>
        <w:tc>
          <w:tcPr>
            <w:tcW w:type="dxa" w:w="3120"/>
          </w:tcPr>
          <w:p>
            <w:r>
              <w:rPr>
                <w:sz w:val="20"/>
              </w:rPr>
              <w:t>Silver Spring International Middle School</w:t>
            </w:r>
          </w:p>
        </w:tc>
        <w:tc>
          <w:tcPr>
            <w:tcW w:type="dxa" w:w="3120"/>
          </w:tcPr>
          <w:p>
            <w:pPr>
              <w:jc w:val="center"/>
            </w:pPr>
            <w:r>
              <w:rPr>
                <w:sz w:val="20"/>
              </w:rPr>
              <w:t>5 students</w:t>
            </w:r>
          </w:p>
        </w:tc>
        <w:tc>
          <w:tcPr>
            <w:tcW w:type="dxa" w:w="3120"/>
          </w:tcPr>
          <w:p>
            <w:r>
              <w:rPr>
                <w:sz w:val="20"/>
              </w:rPr>
              <w:t>Patricia Okonkwo, Ivan Reyes</w:t>
            </w:r>
          </w:p>
        </w:tc>
      </w:tr>
      <w:tr>
        <w:tc>
          <w:tcPr>
            <w:tcW w:type="dxa" w:w="3120"/>
          </w:tcPr>
          <w:p>
            <w:r>
              <w:rPr>
                <w:sz w:val="20"/>
              </w:rPr>
              <w:t>Argyle Middle School</w:t>
            </w:r>
          </w:p>
        </w:tc>
        <w:tc>
          <w:tcPr>
            <w:tcW w:type="dxa" w:w="3120"/>
          </w:tcPr>
          <w:p>
            <w:pPr>
              <w:jc w:val="center"/>
            </w:pPr>
            <w:r>
              <w:rPr>
                <w:sz w:val="20"/>
              </w:rPr>
              <w:t>5 students</w:t>
            </w:r>
          </w:p>
        </w:tc>
        <w:tc>
          <w:tcPr>
            <w:tcW w:type="dxa" w:w="3120"/>
          </w:tcPr>
          <w:p>
            <w:r>
              <w:rPr>
                <w:sz w:val="20"/>
              </w:rPr>
              <w:t>Angela Park, Marcus Webb</w:t>
            </w:r>
          </w:p>
        </w:tc>
      </w:tr>
    </w:tbl>
    <w:p/>
    <w:p>
      <w:r>
        <w:rPr>
          <w:rFonts w:ascii="Calibri" w:hAnsi="Calibri"/>
          <w:b/>
          <w:i w:val="0"/>
          <w:sz w:val="24"/>
        </w:rPr>
        <w:t>Program Outcomes</w:t>
      </w:r>
    </w:p>
    <w:p>
      <w:pPr>
        <w:pStyle w:val="ListBullet"/>
      </w:pPr>
      <w:r>
        <w:rPr>
          <w:rFonts w:ascii="Calibri" w:hAnsi="Calibri"/>
          <w:b w:val="0"/>
          <w:i w:val="0"/>
          <w:sz w:val="22"/>
        </w:rPr>
        <w:t>38 of 43 enrolled students (88 percent) completed the full program year.</w:t>
      </w:r>
    </w:p>
    <w:p>
      <w:pPr>
        <w:pStyle w:val="ListBullet"/>
      </w:pPr>
      <w:r>
        <w:rPr>
          <w:rFonts w:ascii="Calibri" w:hAnsi="Calibri"/>
          <w:b w:val="0"/>
          <w:i w:val="0"/>
          <w:sz w:val="22"/>
        </w:rPr>
        <w:t>Average improvement in USCF rating among registered participants: +84 points.</w:t>
      </w:r>
    </w:p>
    <w:p>
      <w:pPr>
        <w:pStyle w:val="ListBullet"/>
      </w:pPr>
      <w:r>
        <w:rPr>
          <w:rFonts w:ascii="Calibri" w:hAnsi="Calibri"/>
          <w:b w:val="0"/>
          <w:i w:val="0"/>
          <w:sz w:val="22"/>
        </w:rPr>
        <w:t>4 students competed in MACCF Annual Open Scholastic Section (June 2025).</w:t>
      </w:r>
    </w:p>
    <w:p>
      <w:pPr>
        <w:pStyle w:val="ListBullet"/>
      </w:pPr>
      <w:r>
        <w:rPr>
          <w:rFonts w:ascii="Calibri" w:hAnsi="Calibri"/>
          <w:b w:val="0"/>
          <w:i w:val="0"/>
          <w:sz w:val="22"/>
        </w:rPr>
        <w:t>2 students advanced to final round. Adeola Taiwo earned 3rd place.</w:t>
      </w:r>
    </w:p>
    <w:p>
      <w:pPr>
        <w:pStyle w:val="ListBullet"/>
      </w:pPr>
      <w:r>
        <w:rPr>
          <w:rFonts w:ascii="Calibri" w:hAnsi="Calibri"/>
          <w:b w:val="0"/>
          <w:i w:val="0"/>
          <w:sz w:val="22"/>
        </w:rPr>
        <w:t>100 percent of completing students reported positive experience in post-program survey.</w:t>
      </w:r>
    </w:p>
    <w:p>
      <w:pPr>
        <w:pStyle w:val="ListBullet"/>
      </w:pPr>
      <w:r>
        <w:rPr>
          <w:rFonts w:ascii="Calibri" w:hAnsi="Calibri"/>
          <w:b w:val="0"/>
          <w:i w:val="0"/>
          <w:sz w:val="22"/>
        </w:rPr>
        <w:t>14 of 15 volunteer mentors returned for 2026 program year.</w:t>
      </w:r>
    </w:p>
    <w:p>
      <w:pPr>
        <w:pStyle w:val="ListBullet"/>
      </w:pPr>
      <w:r>
        <w:rPr>
          <w:rFonts w:ascii="Calibri" w:hAnsi="Calibri"/>
          <w:b w:val="0"/>
          <w:i w:val="0"/>
          <w:sz w:val="22"/>
        </w:rPr>
        <w:t>New school partner added: Argyle Middle School (effective September 2025).</w:t>
      </w:r>
    </w:p>
    <w:p/>
    <w:p>
      <w:r>
        <w:rPr>
          <w:rFonts w:ascii="Calibri" w:hAnsi="Calibri"/>
          <w:b/>
          <w:i w:val="0"/>
          <w:sz w:val="24"/>
        </w:rPr>
        <w:t>Budget Summary</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val="0"/>
                <w:i w:val="0"/>
                <w:sz w:val="20"/>
              </w:rPr>
              <w:t>Mentor training and certification</w:t>
            </w:r>
          </w:p>
        </w:tc>
        <w:tc>
          <w:tcPr>
            <w:tcW w:type="dxa" w:w="4680"/>
          </w:tcPr>
          <w:p>
            <w:pPr>
              <w:jc w:val="right"/>
            </w:pPr>
            <w:r>
              <w:rPr>
                <w:rFonts w:ascii="Calibri" w:hAnsi="Calibri"/>
                <w:b w:val="0"/>
                <w:i w:val="0"/>
                <w:sz w:val="20"/>
              </w:rPr>
              <w:t>$1,200</w:t>
            </w:r>
          </w:p>
        </w:tc>
      </w:tr>
      <w:tr>
        <w:tc>
          <w:tcPr>
            <w:tcW w:type="dxa" w:w="4680"/>
          </w:tcPr>
          <w:p>
            <w:r>
              <w:rPr>
                <w:rFonts w:ascii="Calibri" w:hAnsi="Calibri"/>
                <w:b w:val="0"/>
                <w:i w:val="0"/>
                <w:sz w:val="20"/>
              </w:rPr>
              <w:t>Materials (boards, sets, workbooks)</w:t>
            </w:r>
          </w:p>
        </w:tc>
        <w:tc>
          <w:tcPr>
            <w:tcW w:type="dxa" w:w="4680"/>
          </w:tcPr>
          <w:p>
            <w:pPr>
              <w:jc w:val="right"/>
            </w:pPr>
            <w:r>
              <w:rPr>
                <w:rFonts w:ascii="Calibri" w:hAnsi="Calibri"/>
                <w:b w:val="0"/>
                <w:i w:val="0"/>
                <w:sz w:val="20"/>
              </w:rPr>
              <w:t>$2,400</w:t>
            </w:r>
          </w:p>
        </w:tc>
      </w:tr>
      <w:tr>
        <w:tc>
          <w:tcPr>
            <w:tcW w:type="dxa" w:w="4680"/>
          </w:tcPr>
          <w:p>
            <w:r>
              <w:rPr>
                <w:rFonts w:ascii="Calibri" w:hAnsi="Calibri"/>
                <w:b w:val="0"/>
                <w:i w:val="0"/>
                <w:sz w:val="20"/>
              </w:rPr>
              <w:t>Tournament entry fees</w:t>
            </w:r>
          </w:p>
        </w:tc>
        <w:tc>
          <w:tcPr>
            <w:tcW w:type="dxa" w:w="4680"/>
          </w:tcPr>
          <w:p>
            <w:pPr>
              <w:jc w:val="right"/>
            </w:pPr>
            <w:r>
              <w:rPr>
                <w:rFonts w:ascii="Calibri" w:hAnsi="Calibri"/>
                <w:b w:val="0"/>
                <w:i w:val="0"/>
                <w:sz w:val="20"/>
              </w:rPr>
              <w:t>$620</w:t>
            </w:r>
          </w:p>
        </w:tc>
      </w:tr>
      <w:tr>
        <w:tc>
          <w:tcPr>
            <w:tcW w:type="dxa" w:w="4680"/>
          </w:tcPr>
          <w:p>
            <w:r>
              <w:rPr>
                <w:rFonts w:ascii="Calibri" w:hAnsi="Calibri"/>
                <w:b w:val="0"/>
                <w:i w:val="0"/>
                <w:sz w:val="20"/>
              </w:rPr>
              <w:t>Program administration</w:t>
            </w:r>
          </w:p>
        </w:tc>
        <w:tc>
          <w:tcPr>
            <w:tcW w:type="dxa" w:w="4680"/>
          </w:tcPr>
          <w:p>
            <w:pPr>
              <w:jc w:val="right"/>
            </w:pPr>
            <w:r>
              <w:rPr>
                <w:rFonts w:ascii="Calibri" w:hAnsi="Calibri"/>
                <w:b w:val="0"/>
                <w:i w:val="0"/>
                <w:sz w:val="20"/>
              </w:rPr>
              <w:t>$480</w:t>
            </w:r>
          </w:p>
        </w:tc>
      </w:tr>
      <w:tr>
        <w:tc>
          <w:tcPr>
            <w:tcW w:type="dxa" w:w="4680"/>
          </w:tcPr>
          <w:p>
            <w:r>
              <w:rPr>
                <w:rFonts w:ascii="Calibri" w:hAnsi="Calibri"/>
                <w:b w:val="0"/>
                <w:i w:val="0"/>
                <w:sz w:val="20"/>
              </w:rPr>
              <w:t>Refreshments at sessions</w:t>
            </w:r>
          </w:p>
        </w:tc>
        <w:tc>
          <w:tcPr>
            <w:tcW w:type="dxa" w:w="4680"/>
          </w:tcPr>
          <w:p>
            <w:pPr>
              <w:jc w:val="right"/>
            </w:pPr>
            <w:r>
              <w:rPr>
                <w:rFonts w:ascii="Calibri" w:hAnsi="Calibri"/>
                <w:b w:val="0"/>
                <w:i w:val="0"/>
                <w:sz w:val="20"/>
              </w:rPr>
              <w:t>$840</w:t>
            </w:r>
          </w:p>
        </w:tc>
      </w:tr>
      <w:tr>
        <w:tc>
          <w:tcPr>
            <w:tcW w:type="dxa" w:w="4680"/>
          </w:tcPr>
          <w:p>
            <w:r>
              <w:rPr>
                <w:rFonts w:ascii="Calibri" w:hAnsi="Calibri"/>
                <w:b w:val="0"/>
                <w:i w:val="0"/>
                <w:sz w:val="20"/>
              </w:rPr>
              <w:t>Year-end recognition event</w:t>
            </w:r>
          </w:p>
        </w:tc>
        <w:tc>
          <w:tcPr>
            <w:tcW w:type="dxa" w:w="4680"/>
          </w:tcPr>
          <w:p>
            <w:pPr>
              <w:jc w:val="right"/>
            </w:pPr>
            <w:r>
              <w:rPr>
                <w:rFonts w:ascii="Calibri" w:hAnsi="Calibri"/>
                <w:b w:val="0"/>
                <w:i w:val="0"/>
                <w:sz w:val="20"/>
              </w:rPr>
              <w:t>$960</w:t>
            </w:r>
          </w:p>
        </w:tc>
      </w:tr>
      <w:tr>
        <w:tc>
          <w:tcPr>
            <w:tcW w:type="dxa" w:w="4680"/>
          </w:tcPr>
          <w:p>
            <w:r>
              <w:rPr>
                <w:rFonts w:ascii="Calibri" w:hAnsi="Calibri"/>
                <w:b/>
                <w:i w:val="0"/>
                <w:sz w:val="20"/>
              </w:rPr>
              <w:t>Total Program Expenditures</w:t>
            </w:r>
          </w:p>
        </w:tc>
        <w:tc>
          <w:tcPr>
            <w:tcW w:type="dxa" w:w="4680"/>
          </w:tcPr>
          <w:p>
            <w:pPr>
              <w:jc w:val="right"/>
            </w:pPr>
            <w:r>
              <w:rPr>
                <w:rFonts w:ascii="Calibri" w:hAnsi="Calibri"/>
                <w:b/>
                <w:i w:val="0"/>
                <w:sz w:val="20"/>
              </w:rPr>
              <w:t>$6,500</w:t>
            </w:r>
          </w:p>
        </w:tc>
      </w:tr>
      <w:tr>
        <w:tc>
          <w:tcPr>
            <w:tcW w:type="dxa" w:w="4680"/>
          </w:tcPr>
          <w:p>
            <w:r>
              <w:rPr>
                <w:rFonts w:ascii="Calibri" w:hAnsi="Calibri"/>
                <w:b/>
                <w:i w:val="0"/>
                <w:sz w:val="20"/>
              </w:rPr>
              <w:t>Funding: Chesapeake Community Foundation grant</w:t>
            </w:r>
          </w:p>
        </w:tc>
        <w:tc>
          <w:tcPr>
            <w:tcW w:type="dxa" w:w="4680"/>
          </w:tcPr>
          <w:p>
            <w:pPr>
              <w:jc w:val="right"/>
            </w:pPr>
            <w:r>
              <w:rPr>
                <w:rFonts w:ascii="Calibri" w:hAnsi="Calibri"/>
                <w:b/>
                <w:i w:val="0"/>
                <w:sz w:val="20"/>
              </w:rPr>
              <w:t>$4,000</w:t>
            </w:r>
          </w:p>
        </w:tc>
      </w:tr>
      <w:tr>
        <w:tc>
          <w:tcPr>
            <w:tcW w:type="dxa" w:w="4680"/>
          </w:tcPr>
          <w:p>
            <w:r>
              <w:rPr>
                <w:rFonts w:ascii="Calibri" w:hAnsi="Calibri"/>
                <w:b/>
                <w:i w:val="0"/>
                <w:sz w:val="20"/>
              </w:rPr>
              <w:t>Funding: MACCF general operating fund</w:t>
            </w:r>
          </w:p>
        </w:tc>
        <w:tc>
          <w:tcPr>
            <w:tcW w:type="dxa" w:w="4680"/>
          </w:tcPr>
          <w:p>
            <w:pPr>
              <w:jc w:val="right"/>
            </w:pPr>
            <w:r>
              <w:rPr>
                <w:rFonts w:ascii="Calibri" w:hAnsi="Calibri"/>
                <w:b/>
                <w:i w:val="0"/>
                <w:sz w:val="20"/>
              </w:rPr>
              <w:t>$2,500</w:t>
            </w:r>
          </w:p>
        </w:tc>
      </w:tr>
    </w:tbl>
    <w:p/>
    <w:p>
      <w:r>
        <w:rPr>
          <w:rFonts w:ascii="Calibri" w:hAnsi="Calibri"/>
          <w:b/>
          <w:i w:val="0"/>
          <w:sz w:val="24"/>
        </w:rPr>
        <w:t>2026 Program Goals</w:t>
      </w:r>
    </w:p>
    <w:p>
      <w:pPr>
        <w:pStyle w:val="ListBullet"/>
      </w:pPr>
      <w:r>
        <w:rPr>
          <w:rFonts w:ascii="Calibri" w:hAnsi="Calibri"/>
          <w:b w:val="0"/>
          <w:i w:val="0"/>
          <w:sz w:val="22"/>
        </w:rPr>
        <w:t>Expand to 50 enrolled students across the same six schools.</w:t>
      </w:r>
    </w:p>
    <w:p>
      <w:pPr>
        <w:pStyle w:val="ListBullet"/>
      </w:pPr>
      <w:r>
        <w:rPr>
          <w:rFonts w:ascii="Calibri" w:hAnsi="Calibri"/>
          <w:b w:val="0"/>
          <w:i w:val="0"/>
          <w:sz w:val="22"/>
        </w:rPr>
        <w:t>Submit grant application to Chesapeake Community Foundation for $8,500 (pending January 2026).</w:t>
      </w:r>
    </w:p>
    <w:p>
      <w:pPr>
        <w:pStyle w:val="ListBullet"/>
      </w:pPr>
      <w:r>
        <w:rPr>
          <w:rFonts w:ascii="Calibri" w:hAnsi="Calibri"/>
          <w:b w:val="0"/>
          <w:i w:val="0"/>
          <w:sz w:val="22"/>
        </w:rPr>
        <w:t>Add one additional volunteer mentor per school.</w:t>
      </w:r>
    </w:p>
    <w:p>
      <w:pPr>
        <w:pStyle w:val="ListBullet"/>
      </w:pPr>
      <w:r>
        <w:rPr>
          <w:rFonts w:ascii="Calibri" w:hAnsi="Calibri"/>
          <w:b w:val="0"/>
          <w:i w:val="0"/>
          <w:sz w:val="22"/>
        </w:rPr>
        <w:t>Partner with Montgomery County Public Schools to offer school-day elective credit.</w:t>
      </w:r>
    </w:p>
    <w:p>
      <w:pPr>
        <w:pStyle w:val="ListBullet"/>
      </w:pPr>
      <w:r>
        <w:rPr>
          <w:rFonts w:ascii="Calibri" w:hAnsi="Calibri"/>
          <w:b w:val="0"/>
          <w:i w:val="0"/>
          <w:sz w:val="22"/>
        </w:rPr>
        <w:t>Since the federation's founding in 2008, the MACCF network has grown from four affiliated clubs to twelve; the youth program represents the next stage of that regional growth.</w:t>
      </w:r>
    </w:p>
    <w:p/>
    <w:p>
      <w:r>
        <w:rPr>
          <w:rFonts w:ascii="Calibri" w:hAnsi="Calibri"/>
          <w:b w:val="0"/>
          <w:i w:val="0"/>
          <w:sz w:val="22"/>
        </w:rPr>
        <w:t>Tony M. Nguyen Sr., President and Director, MACCF</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