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26"/>
        </w:rPr>
        <w:t>Montgomery Internal Medicine Associates</w:t>
      </w:r>
    </w:p>
    <w:p>
      <w:r>
        <w:rPr>
          <w:rFonts w:ascii="Calibri" w:hAnsi="Calibri"/>
          <w:b w:val="0"/>
          <w:i w:val="0"/>
          <w:sz w:val="20"/>
        </w:rPr>
        <w:t>12200 Plum Orchard Drive, Suite 300, Silver Spring, MD 20904</w:t>
      </w:r>
    </w:p>
    <w:p>
      <w:r>
        <w:rPr>
          <w:rFonts w:ascii="Calibri" w:hAnsi="Calibri"/>
          <w:b w:val="0"/>
          <w:i w:val="0"/>
          <w:sz w:val="20"/>
        </w:rPr>
        <w:t>Phone: (301) 622-4100  |  Fax: (301) 622-4101</w:t>
      </w:r>
    </w:p>
    <w:p/>
    <w:p>
      <w:r>
        <w:rPr>
          <w:rFonts w:ascii="Calibri" w:hAnsi="Calibri"/>
          <w:b w:val="0"/>
          <w:i w:val="0"/>
          <w:sz w:val="22"/>
        </w:rPr>
        <w:t>February 14, 2026</w:t>
      </w:r>
    </w:p>
    <w:p/>
    <w:p>
      <w:r>
        <w:rPr>
          <w:rFonts w:ascii="Calibri" w:hAnsi="Calibri"/>
          <w:b w:val="0"/>
          <w:i w:val="0"/>
          <w:sz w:val="22"/>
        </w:rPr>
        <w:t>Tony Michael Nguyen Sr.</w:t>
      </w:r>
    </w:p>
    <w:p>
      <w:r>
        <w:rPr>
          <w:rFonts w:ascii="Calibri" w:hAnsi="Calibri"/>
          <w:b w:val="0"/>
          <w:i w:val="0"/>
          <w:sz w:val="22"/>
        </w:rPr>
        <w:t>1412 Bexley Drive, Silver Spring, MD 20902</w:t>
      </w:r>
    </w:p>
    <w:p/>
    <w:p>
      <w:r>
        <w:rPr>
          <w:rFonts w:ascii="Calibri" w:hAnsi="Calibri"/>
          <w:b w:val="0"/>
          <w:i w:val="0"/>
          <w:sz w:val="22"/>
        </w:rPr>
        <w:t>Dear Mr. Nguyen,</w:t>
      </w:r>
    </w:p>
    <w:p/>
    <w:p>
      <w:r>
        <w:rPr>
          <w:rFonts w:ascii="Calibri" w:hAnsi="Calibri"/>
          <w:b w:val="0"/>
          <w:i w:val="0"/>
          <w:sz w:val="22"/>
        </w:rPr>
        <w:t>Thank you for coming in for your annual wellness visit on February 12, 2026. It was a pleasure to review your overall health status and lab results with you. This letter summarizes our discussion and the care plan we established.</w:t>
      </w:r>
    </w:p>
    <w:p/>
    <w:p>
      <w:pPr>
        <w:jc w:val="left"/>
      </w:pPr>
      <w:r>
        <w:rPr>
          <w:rFonts w:ascii="Calibri" w:hAnsi="Calibri"/>
          <w:b/>
          <w:i w:val="0"/>
          <w:sz w:val="24"/>
        </w:rPr>
        <w:t>Laboratory Results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rFonts w:ascii="Calibri" w:hAnsi="Calibri"/>
                <w:b/>
                <w:i w:val="0"/>
                <w:color w:val="FFFFFF"/>
                <w:sz w:val="20"/>
              </w:rPr>
              <w:t>Test</w:t>
            </w:r>
          </w:p>
        </w:tc>
        <w:tc>
          <w:tcPr>
            <w:tcW w:type="dxa" w:w="2160"/>
            <w:shd w:val="clear" w:color="auto" w:fill="1F4E79"/>
          </w:tcPr>
          <w:p>
            <w:pPr>
              <w:jc w:val="center"/>
            </w:pPr>
            <w:r>
              <w:rPr>
                <w:rFonts w:ascii="Calibri" w:hAnsi="Calibri"/>
                <w:b/>
                <w:i w:val="0"/>
                <w:color w:val="FFFFFF"/>
                <w:sz w:val="20"/>
              </w:rPr>
              <w:t>Result</w:t>
            </w:r>
          </w:p>
        </w:tc>
        <w:tc>
          <w:tcPr>
            <w:tcW w:type="dxa" w:w="2160"/>
            <w:shd w:val="clear" w:color="auto" w:fill="1F4E79"/>
          </w:tcPr>
          <w:p>
            <w:pPr>
              <w:jc w:val="center"/>
            </w:pPr>
            <w:r>
              <w:rPr>
                <w:rFonts w:ascii="Calibri" w:hAnsi="Calibri"/>
                <w:b/>
                <w:i w:val="0"/>
                <w:color w:val="FFFFFF"/>
                <w:sz w:val="20"/>
              </w:rPr>
              <w:t>Reference Range</w:t>
            </w:r>
          </w:p>
        </w:tc>
        <w:tc>
          <w:tcPr>
            <w:tcW w:type="dxa" w:w="2160"/>
            <w:shd w:val="clear" w:color="auto" w:fill="1F4E79"/>
          </w:tcPr>
          <w:p>
            <w:pPr>
              <w:jc w:val="center"/>
            </w:pPr>
            <w:r>
              <w:rPr>
                <w:rFonts w:ascii="Calibri" w:hAnsi="Calibri"/>
                <w:b/>
                <w:i w:val="0"/>
                <w:color w:val="FFFFFF"/>
                <w:sz w:val="20"/>
              </w:rPr>
              <w:t>Comment</w:t>
            </w:r>
          </w:p>
        </w:tc>
      </w:tr>
      <w:tr>
        <w:tc>
          <w:tcPr>
            <w:tcW w:type="dxa" w:w="2160"/>
          </w:tcPr>
          <w:p>
            <w:r>
              <w:rPr>
                <w:rFonts w:ascii="Calibri" w:hAnsi="Calibri"/>
                <w:b w:val="0"/>
                <w:i w:val="0"/>
                <w:sz w:val="20"/>
              </w:rPr>
              <w:t>HbA1c</w:t>
            </w:r>
          </w:p>
        </w:tc>
        <w:tc>
          <w:tcPr>
            <w:tcW w:type="dxa" w:w="2160"/>
          </w:tcPr>
          <w:p>
            <w:r>
              <w:rPr>
                <w:rFonts w:ascii="Calibri" w:hAnsi="Calibri"/>
                <w:b w:val="0"/>
                <w:i w:val="0"/>
                <w:sz w:val="20"/>
              </w:rPr>
              <w:t>7.2%</w:t>
            </w:r>
          </w:p>
        </w:tc>
        <w:tc>
          <w:tcPr>
            <w:tcW w:type="dxa" w:w="2160"/>
          </w:tcPr>
          <w:p>
            <w:r>
              <w:rPr>
                <w:rFonts w:ascii="Calibri" w:hAnsi="Calibri"/>
                <w:b w:val="0"/>
                <w:i w:val="0"/>
                <w:sz w:val="20"/>
              </w:rPr>
              <w:t>Target &lt; 7.5% (age-adjusted)</w:t>
            </w:r>
          </w:p>
        </w:tc>
        <w:tc>
          <w:tcPr>
            <w:tcW w:type="dxa" w:w="2160"/>
          </w:tcPr>
          <w:p>
            <w:r>
              <w:rPr>
                <w:rFonts w:ascii="Calibri" w:hAnsi="Calibri"/>
                <w:b w:val="0"/>
                <w:i w:val="0"/>
                <w:sz w:val="20"/>
              </w:rPr>
              <w:t>Stable. Continue current regimen.</w:t>
            </w:r>
          </w:p>
        </w:tc>
      </w:tr>
      <w:tr>
        <w:tc>
          <w:tcPr>
            <w:tcW w:type="dxa" w:w="2160"/>
            <w:shd w:val="clear" w:color="auto" w:fill="EBF3FB"/>
          </w:tcPr>
          <w:p>
            <w:r>
              <w:rPr>
                <w:rFonts w:ascii="Calibri" w:hAnsi="Calibri"/>
                <w:b w:val="0"/>
                <w:i w:val="0"/>
                <w:sz w:val="20"/>
              </w:rPr>
              <w:t>Fasting Glucose</w:t>
            </w:r>
          </w:p>
        </w:tc>
        <w:tc>
          <w:tcPr>
            <w:tcW w:type="dxa" w:w="2160"/>
            <w:shd w:val="clear" w:color="auto" w:fill="EBF3FB"/>
          </w:tcPr>
          <w:p>
            <w:r>
              <w:rPr>
                <w:rFonts w:ascii="Calibri" w:hAnsi="Calibri"/>
                <w:b w:val="0"/>
                <w:i w:val="0"/>
                <w:sz w:val="20"/>
              </w:rPr>
              <w:t>115 mg/dL</w:t>
            </w:r>
          </w:p>
        </w:tc>
        <w:tc>
          <w:tcPr>
            <w:tcW w:type="dxa" w:w="2160"/>
            <w:shd w:val="clear" w:color="auto" w:fill="EBF3FB"/>
          </w:tcPr>
          <w:p>
            <w:r>
              <w:rPr>
                <w:rFonts w:ascii="Calibri" w:hAnsi="Calibri"/>
                <w:b w:val="0"/>
                <w:i w:val="0"/>
                <w:sz w:val="20"/>
              </w:rPr>
              <w:t>Target 80-130 mg/dL</w:t>
            </w:r>
          </w:p>
        </w:tc>
        <w:tc>
          <w:tcPr>
            <w:tcW w:type="dxa" w:w="2160"/>
            <w:shd w:val="clear" w:color="auto" w:fill="EBF3FB"/>
          </w:tcPr>
          <w:p>
            <w:r>
              <w:rPr>
                <w:rFonts w:ascii="Calibri" w:hAnsi="Calibri"/>
                <w:b w:val="0"/>
                <w:i w:val="0"/>
                <w:sz w:val="20"/>
              </w:rPr>
              <w:t>Within range.</w:t>
            </w:r>
          </w:p>
        </w:tc>
      </w:tr>
      <w:tr>
        <w:tc>
          <w:tcPr>
            <w:tcW w:type="dxa" w:w="2160"/>
          </w:tcPr>
          <w:p>
            <w:r>
              <w:rPr>
                <w:rFonts w:ascii="Calibri" w:hAnsi="Calibri"/>
                <w:b w:val="0"/>
                <w:i w:val="0"/>
                <w:sz w:val="20"/>
              </w:rPr>
              <w:t>LDL Cholesterol</w:t>
            </w:r>
          </w:p>
        </w:tc>
        <w:tc>
          <w:tcPr>
            <w:tcW w:type="dxa" w:w="2160"/>
          </w:tcPr>
          <w:p>
            <w:r>
              <w:rPr>
                <w:rFonts w:ascii="Calibri" w:hAnsi="Calibri"/>
                <w:b w:val="0"/>
                <w:i w:val="0"/>
                <w:sz w:val="20"/>
              </w:rPr>
              <w:t>142 mg/dL</w:t>
            </w:r>
          </w:p>
        </w:tc>
        <w:tc>
          <w:tcPr>
            <w:tcW w:type="dxa" w:w="2160"/>
          </w:tcPr>
          <w:p>
            <w:r>
              <w:rPr>
                <w:rFonts w:ascii="Calibri" w:hAnsi="Calibri"/>
                <w:b w:val="0"/>
                <w:i w:val="0"/>
                <w:sz w:val="20"/>
              </w:rPr>
              <w:t>Target &lt; 130 mg/dL</w:t>
            </w:r>
          </w:p>
        </w:tc>
        <w:tc>
          <w:tcPr>
            <w:tcW w:type="dxa" w:w="2160"/>
          </w:tcPr>
          <w:p>
            <w:r>
              <w:rPr>
                <w:rFonts w:ascii="Calibri" w:hAnsi="Calibri"/>
                <w:b w:val="0"/>
                <w:i w:val="0"/>
                <w:sz w:val="20"/>
              </w:rPr>
              <w:t>Slightly elevated. Dietary review recommended.</w:t>
            </w:r>
          </w:p>
        </w:tc>
      </w:tr>
      <w:tr>
        <w:tc>
          <w:tcPr>
            <w:tcW w:type="dxa" w:w="2160"/>
            <w:shd w:val="clear" w:color="auto" w:fill="EBF3FB"/>
          </w:tcPr>
          <w:p>
            <w:r>
              <w:rPr>
                <w:rFonts w:ascii="Calibri" w:hAnsi="Calibri"/>
                <w:b w:val="0"/>
                <w:i w:val="0"/>
                <w:sz w:val="20"/>
              </w:rPr>
              <w:t>HDL Cholesterol</w:t>
            </w:r>
          </w:p>
        </w:tc>
        <w:tc>
          <w:tcPr>
            <w:tcW w:type="dxa" w:w="2160"/>
            <w:shd w:val="clear" w:color="auto" w:fill="EBF3FB"/>
          </w:tcPr>
          <w:p>
            <w:r>
              <w:rPr>
                <w:rFonts w:ascii="Calibri" w:hAnsi="Calibri"/>
                <w:b w:val="0"/>
                <w:i w:val="0"/>
                <w:sz w:val="20"/>
              </w:rPr>
              <w:t>48 mg/dL</w:t>
            </w:r>
          </w:p>
        </w:tc>
        <w:tc>
          <w:tcPr>
            <w:tcW w:type="dxa" w:w="2160"/>
            <w:shd w:val="clear" w:color="auto" w:fill="EBF3FB"/>
          </w:tcPr>
          <w:p>
            <w:r>
              <w:rPr>
                <w:rFonts w:ascii="Calibri" w:hAnsi="Calibri"/>
                <w:b w:val="0"/>
                <w:i w:val="0"/>
                <w:sz w:val="20"/>
              </w:rPr>
              <w:t>Target &gt; 40 mg/dL</w:t>
            </w:r>
          </w:p>
        </w:tc>
        <w:tc>
          <w:tcPr>
            <w:tcW w:type="dxa" w:w="2160"/>
            <w:shd w:val="clear" w:color="auto" w:fill="EBF3FB"/>
          </w:tcPr>
          <w:p>
            <w:r>
              <w:rPr>
                <w:rFonts w:ascii="Calibri" w:hAnsi="Calibri"/>
                <w:b w:val="0"/>
                <w:i w:val="0"/>
                <w:sz w:val="20"/>
              </w:rPr>
              <w:t>Acceptable.</w:t>
            </w:r>
          </w:p>
        </w:tc>
      </w:tr>
      <w:tr>
        <w:tc>
          <w:tcPr>
            <w:tcW w:type="dxa" w:w="2160"/>
          </w:tcPr>
          <w:p>
            <w:r>
              <w:rPr>
                <w:rFonts w:ascii="Calibri" w:hAnsi="Calibri"/>
                <w:b w:val="0"/>
                <w:i w:val="0"/>
                <w:sz w:val="20"/>
              </w:rPr>
              <w:t>Total Cholesterol</w:t>
            </w:r>
          </w:p>
        </w:tc>
        <w:tc>
          <w:tcPr>
            <w:tcW w:type="dxa" w:w="2160"/>
          </w:tcPr>
          <w:p>
            <w:r>
              <w:rPr>
                <w:rFonts w:ascii="Calibri" w:hAnsi="Calibri"/>
                <w:b w:val="0"/>
                <w:i w:val="0"/>
                <w:sz w:val="20"/>
              </w:rPr>
              <w:t>198 mg/dL</w:t>
            </w:r>
          </w:p>
        </w:tc>
        <w:tc>
          <w:tcPr>
            <w:tcW w:type="dxa" w:w="2160"/>
          </w:tcPr>
          <w:p>
            <w:r>
              <w:rPr>
                <w:rFonts w:ascii="Calibri" w:hAnsi="Calibri"/>
                <w:b w:val="0"/>
                <w:i w:val="0"/>
                <w:sz w:val="20"/>
              </w:rPr>
              <w:t>Target &lt; 200 mg/dL</w:t>
            </w:r>
          </w:p>
        </w:tc>
        <w:tc>
          <w:tcPr>
            <w:tcW w:type="dxa" w:w="2160"/>
          </w:tcPr>
          <w:p>
            <w:r>
              <w:rPr>
                <w:rFonts w:ascii="Calibri" w:hAnsi="Calibri"/>
                <w:b w:val="0"/>
                <w:i w:val="0"/>
                <w:sz w:val="20"/>
              </w:rPr>
              <w:t>Within range.</w:t>
            </w:r>
          </w:p>
        </w:tc>
      </w:tr>
      <w:tr>
        <w:tc>
          <w:tcPr>
            <w:tcW w:type="dxa" w:w="2160"/>
            <w:shd w:val="clear" w:color="auto" w:fill="EBF3FB"/>
          </w:tcPr>
          <w:p>
            <w:r>
              <w:rPr>
                <w:rFonts w:ascii="Calibri" w:hAnsi="Calibri"/>
                <w:b w:val="0"/>
                <w:i w:val="0"/>
                <w:sz w:val="20"/>
              </w:rPr>
              <w:t>Triglycerides</w:t>
            </w:r>
          </w:p>
        </w:tc>
        <w:tc>
          <w:tcPr>
            <w:tcW w:type="dxa" w:w="2160"/>
            <w:shd w:val="clear" w:color="auto" w:fill="EBF3FB"/>
          </w:tcPr>
          <w:p>
            <w:r>
              <w:rPr>
                <w:rFonts w:ascii="Calibri" w:hAnsi="Calibri"/>
                <w:b w:val="0"/>
                <w:i w:val="0"/>
                <w:sz w:val="20"/>
              </w:rPr>
              <w:t>168 mg/dL</w:t>
            </w:r>
          </w:p>
        </w:tc>
        <w:tc>
          <w:tcPr>
            <w:tcW w:type="dxa" w:w="2160"/>
            <w:shd w:val="clear" w:color="auto" w:fill="EBF3FB"/>
          </w:tcPr>
          <w:p>
            <w:r>
              <w:rPr>
                <w:rFonts w:ascii="Calibri" w:hAnsi="Calibri"/>
                <w:b w:val="0"/>
                <w:i w:val="0"/>
                <w:sz w:val="20"/>
              </w:rPr>
              <w:t>Target &lt; 150 mg/dL</w:t>
            </w:r>
          </w:p>
        </w:tc>
        <w:tc>
          <w:tcPr>
            <w:tcW w:type="dxa" w:w="2160"/>
            <w:shd w:val="clear" w:color="auto" w:fill="EBF3FB"/>
          </w:tcPr>
          <w:p>
            <w:r>
              <w:rPr>
                <w:rFonts w:ascii="Calibri" w:hAnsi="Calibri"/>
                <w:b w:val="0"/>
                <w:i w:val="0"/>
                <w:sz w:val="20"/>
              </w:rPr>
              <w:t>Mildly elevated. Reduce refined carbohydrates.</w:t>
            </w:r>
          </w:p>
        </w:tc>
      </w:tr>
      <w:tr>
        <w:tc>
          <w:tcPr>
            <w:tcW w:type="dxa" w:w="2160"/>
          </w:tcPr>
          <w:p>
            <w:r>
              <w:rPr>
                <w:rFonts w:ascii="Calibri" w:hAnsi="Calibri"/>
                <w:b w:val="0"/>
                <w:i w:val="0"/>
                <w:sz w:val="20"/>
              </w:rPr>
              <w:t>PSA</w:t>
            </w:r>
          </w:p>
        </w:tc>
        <w:tc>
          <w:tcPr>
            <w:tcW w:type="dxa" w:w="2160"/>
          </w:tcPr>
          <w:p>
            <w:r>
              <w:rPr>
                <w:rFonts w:ascii="Calibri" w:hAnsi="Calibri"/>
                <w:b w:val="0"/>
                <w:i w:val="0"/>
                <w:sz w:val="20"/>
              </w:rPr>
              <w:t>2.8 ng/mL</w:t>
            </w:r>
          </w:p>
        </w:tc>
        <w:tc>
          <w:tcPr>
            <w:tcW w:type="dxa" w:w="2160"/>
          </w:tcPr>
          <w:p>
            <w:r>
              <w:rPr>
                <w:rFonts w:ascii="Calibri" w:hAnsi="Calibri"/>
                <w:b w:val="0"/>
                <w:i w:val="0"/>
                <w:sz w:val="20"/>
              </w:rPr>
              <w:t>Age-appropriate range &lt; 4.0</w:t>
            </w:r>
          </w:p>
        </w:tc>
        <w:tc>
          <w:tcPr>
            <w:tcW w:type="dxa" w:w="2160"/>
          </w:tcPr>
          <w:p>
            <w:r>
              <w:rPr>
                <w:rFonts w:ascii="Calibri" w:hAnsi="Calibri"/>
                <w:b w:val="0"/>
                <w:i w:val="0"/>
                <w:sz w:val="20"/>
              </w:rPr>
              <w:t>No change from 2025. Continue annual monitoring.</w:t>
            </w:r>
          </w:p>
        </w:tc>
      </w:tr>
      <w:tr>
        <w:tc>
          <w:tcPr>
            <w:tcW w:type="dxa" w:w="2160"/>
            <w:shd w:val="clear" w:color="auto" w:fill="EBF3FB"/>
          </w:tcPr>
          <w:p>
            <w:r>
              <w:rPr>
                <w:rFonts w:ascii="Calibri" w:hAnsi="Calibri"/>
                <w:b w:val="0"/>
                <w:i w:val="0"/>
                <w:sz w:val="20"/>
              </w:rPr>
              <w:t>Creatinine</w:t>
            </w:r>
          </w:p>
        </w:tc>
        <w:tc>
          <w:tcPr>
            <w:tcW w:type="dxa" w:w="2160"/>
            <w:shd w:val="clear" w:color="auto" w:fill="EBF3FB"/>
          </w:tcPr>
          <w:p>
            <w:r>
              <w:rPr>
                <w:rFonts w:ascii="Calibri" w:hAnsi="Calibri"/>
                <w:b w:val="0"/>
                <w:i w:val="0"/>
                <w:sz w:val="20"/>
              </w:rPr>
              <w:t>1.1 mg/dL</w:t>
            </w:r>
          </w:p>
        </w:tc>
        <w:tc>
          <w:tcPr>
            <w:tcW w:type="dxa" w:w="2160"/>
            <w:shd w:val="clear" w:color="auto" w:fill="EBF3FB"/>
          </w:tcPr>
          <w:p>
            <w:r>
              <w:rPr>
                <w:rFonts w:ascii="Calibri" w:hAnsi="Calibri"/>
                <w:b w:val="0"/>
                <w:i w:val="0"/>
                <w:sz w:val="20"/>
              </w:rPr>
              <w:t>Normal range 0.7-1.3</w:t>
            </w:r>
          </w:p>
        </w:tc>
        <w:tc>
          <w:tcPr>
            <w:tcW w:type="dxa" w:w="2160"/>
            <w:shd w:val="clear" w:color="auto" w:fill="EBF3FB"/>
          </w:tcPr>
          <w:p>
            <w:r>
              <w:rPr>
                <w:rFonts w:ascii="Calibri" w:hAnsi="Calibri"/>
                <w:b w:val="0"/>
                <w:i w:val="0"/>
                <w:sz w:val="20"/>
              </w:rPr>
              <w:t>Normal. Renal function stable.</w:t>
            </w:r>
          </w:p>
        </w:tc>
      </w:tr>
      <w:tr>
        <w:tc>
          <w:tcPr>
            <w:tcW w:type="dxa" w:w="2160"/>
          </w:tcPr>
          <w:p>
            <w:r>
              <w:rPr>
                <w:rFonts w:ascii="Calibri" w:hAnsi="Calibri"/>
                <w:b w:val="0"/>
                <w:i w:val="0"/>
                <w:sz w:val="20"/>
              </w:rPr>
              <w:t>eGFR</w:t>
            </w:r>
          </w:p>
        </w:tc>
        <w:tc>
          <w:tcPr>
            <w:tcW w:type="dxa" w:w="2160"/>
          </w:tcPr>
          <w:p>
            <w:r>
              <w:rPr>
                <w:rFonts w:ascii="Calibri" w:hAnsi="Calibri"/>
                <w:b w:val="0"/>
                <w:i w:val="0"/>
                <w:sz w:val="20"/>
              </w:rPr>
              <w:t>68 mL/min</w:t>
            </w:r>
          </w:p>
        </w:tc>
        <w:tc>
          <w:tcPr>
            <w:tcW w:type="dxa" w:w="2160"/>
          </w:tcPr>
          <w:p>
            <w:r>
              <w:rPr>
                <w:rFonts w:ascii="Calibri" w:hAnsi="Calibri"/>
                <w:b w:val="0"/>
                <w:i w:val="0"/>
                <w:sz w:val="20"/>
              </w:rPr>
              <w:t>Normal range &gt; 60</w:t>
            </w:r>
          </w:p>
        </w:tc>
        <w:tc>
          <w:tcPr>
            <w:tcW w:type="dxa" w:w="2160"/>
          </w:tcPr>
          <w:p>
            <w:r>
              <w:rPr>
                <w:rFonts w:ascii="Calibri" w:hAnsi="Calibri"/>
                <w:b w:val="0"/>
                <w:i w:val="0"/>
                <w:sz w:val="20"/>
              </w:rPr>
              <w:t>Adequate. Metformin dose appropriate.</w:t>
            </w:r>
          </w:p>
        </w:tc>
      </w:tr>
      <w:tr>
        <w:tc>
          <w:tcPr>
            <w:tcW w:type="dxa" w:w="2160"/>
            <w:shd w:val="clear" w:color="auto" w:fill="EBF3FB"/>
          </w:tcPr>
          <w:p>
            <w:r>
              <w:rPr>
                <w:rFonts w:ascii="Calibri" w:hAnsi="Calibri"/>
                <w:b w:val="0"/>
                <w:i w:val="0"/>
                <w:sz w:val="20"/>
              </w:rPr>
              <w:t>TSH</w:t>
            </w:r>
          </w:p>
        </w:tc>
        <w:tc>
          <w:tcPr>
            <w:tcW w:type="dxa" w:w="2160"/>
            <w:shd w:val="clear" w:color="auto" w:fill="EBF3FB"/>
          </w:tcPr>
          <w:p>
            <w:r>
              <w:rPr>
                <w:rFonts w:ascii="Calibri" w:hAnsi="Calibri"/>
                <w:b w:val="0"/>
                <w:i w:val="0"/>
                <w:sz w:val="20"/>
              </w:rPr>
              <w:t>2.1 mIU/L</w:t>
            </w:r>
          </w:p>
        </w:tc>
        <w:tc>
          <w:tcPr>
            <w:tcW w:type="dxa" w:w="2160"/>
            <w:shd w:val="clear" w:color="auto" w:fill="EBF3FB"/>
          </w:tcPr>
          <w:p>
            <w:r>
              <w:rPr>
                <w:rFonts w:ascii="Calibri" w:hAnsi="Calibri"/>
                <w:b w:val="0"/>
                <w:i w:val="0"/>
                <w:sz w:val="20"/>
              </w:rPr>
              <w:t>Normal range 0.4-4.0</w:t>
            </w:r>
          </w:p>
        </w:tc>
        <w:tc>
          <w:tcPr>
            <w:tcW w:type="dxa" w:w="2160"/>
            <w:shd w:val="clear" w:color="auto" w:fill="EBF3FB"/>
          </w:tcPr>
          <w:p>
            <w:r>
              <w:rPr>
                <w:rFonts w:ascii="Calibri" w:hAnsi="Calibri"/>
                <w:b w:val="0"/>
                <w:i w:val="0"/>
                <w:sz w:val="20"/>
              </w:rPr>
              <w:t>Normal.</w:t>
            </w:r>
          </w:p>
        </w:tc>
      </w:tr>
      <w:tr>
        <w:tc>
          <w:tcPr>
            <w:tcW w:type="dxa" w:w="2160"/>
          </w:tcPr>
          <w:p>
            <w:r>
              <w:rPr>
                <w:rFonts w:ascii="Calibri" w:hAnsi="Calibri"/>
                <w:b w:val="0"/>
                <w:i w:val="0"/>
                <w:sz w:val="20"/>
              </w:rPr>
              <w:t>Complete Blood Count</w:t>
            </w:r>
          </w:p>
        </w:tc>
        <w:tc>
          <w:tcPr>
            <w:tcW w:type="dxa" w:w="2160"/>
          </w:tcPr>
          <w:p>
            <w:r>
              <w:rPr>
                <w:rFonts w:ascii="Calibri" w:hAnsi="Calibri"/>
                <w:b w:val="0"/>
                <w:i w:val="0"/>
                <w:sz w:val="20"/>
              </w:rPr>
              <w:t>Within normal limits</w:t>
            </w:r>
          </w:p>
        </w:tc>
        <w:tc>
          <w:tcPr>
            <w:tcW w:type="dxa" w:w="2160"/>
          </w:tcPr>
          <w:p>
            <w:r>
              <w:rPr>
                <w:rFonts w:ascii="Calibri" w:hAnsi="Calibri"/>
                <w:b w:val="0"/>
                <w:i w:val="0"/>
                <w:sz w:val="20"/>
              </w:rPr>
            </w:r>
          </w:p>
        </w:tc>
        <w:tc>
          <w:tcPr>
            <w:tcW w:type="dxa" w:w="2160"/>
          </w:tcPr>
          <w:p>
            <w:r>
              <w:rPr>
                <w:rFonts w:ascii="Calibri" w:hAnsi="Calibri"/>
                <w:b w:val="0"/>
                <w:i w:val="0"/>
                <w:sz w:val="20"/>
              </w:rPr>
              <w:t>No anemia. No leukocytosis.</w:t>
            </w:r>
          </w:p>
        </w:tc>
      </w:tr>
    </w:tbl>
    <w:p/>
    <w:p>
      <w:pPr>
        <w:jc w:val="left"/>
      </w:pPr>
      <w:r>
        <w:rPr>
          <w:rFonts w:ascii="Calibri" w:hAnsi="Calibri"/>
          <w:b/>
          <w:i w:val="0"/>
          <w:sz w:val="24"/>
        </w:rPr>
        <w:t>Blood Pressure</w:t>
      </w:r>
    </w:p>
    <w:p>
      <w:r>
        <w:rPr>
          <w:rFonts w:ascii="Calibri" w:hAnsi="Calibri"/>
          <w:b w:val="0"/>
          <w:i w:val="0"/>
          <w:sz w:val="22"/>
        </w:rPr>
        <w:t>Clinic reading: 148/90 mmHg. Home log reviewed - average 149/91 over past 30 days. Hypertension remains in Stage 1. Continue Lisinopril 20 mg and Hydrochlorothiazide 12.5 mg. Target systolic below 140. Recommend reduction in sodium intake.</w:t>
      </w:r>
    </w:p>
    <w:p/>
    <w:p>
      <w:pPr>
        <w:jc w:val="left"/>
      </w:pPr>
      <w:r>
        <w:rPr>
          <w:rFonts w:ascii="Calibri" w:hAnsi="Calibri"/>
          <w:b/>
          <w:i w:val="0"/>
          <w:sz w:val="24"/>
        </w:rPr>
        <w:t>Care Plan and Follow-Up</w:t>
      </w:r>
    </w:p>
    <w:p>
      <w:pPr>
        <w:pStyle w:val="ListBullet"/>
      </w:pPr>
      <w:r>
        <w:rPr>
          <w:rFonts w:ascii="Calibri" w:hAnsi="Calibri"/>
          <w:b w:val="0"/>
          <w:i w:val="0"/>
          <w:sz w:val="22"/>
        </w:rPr>
        <w:t>Continue Metformin 1000 mg twice daily. Refill provided.</w:t>
      </w:r>
    </w:p>
    <w:p>
      <w:pPr>
        <w:pStyle w:val="ListBullet"/>
      </w:pPr>
      <w:r>
        <w:rPr>
          <w:rFonts w:ascii="Calibri" w:hAnsi="Calibri"/>
          <w:b w:val="0"/>
          <w:i w:val="0"/>
          <w:sz w:val="22"/>
        </w:rPr>
        <w:t>Continue Lisinopril 20 mg once daily.</w:t>
      </w:r>
    </w:p>
    <w:p>
      <w:pPr>
        <w:pStyle w:val="ListBullet"/>
      </w:pPr>
      <w:r>
        <w:rPr>
          <w:rFonts w:ascii="Calibri" w:hAnsi="Calibri"/>
          <w:b w:val="0"/>
          <w:i w:val="0"/>
          <w:sz w:val="22"/>
        </w:rPr>
        <w:t>Continue Hydrochlorothiazide 12.5 mg once daily.</w:t>
      </w:r>
    </w:p>
    <w:p>
      <w:pPr>
        <w:pStyle w:val="ListBullet"/>
      </w:pPr>
      <w:r>
        <w:rPr>
          <w:rFonts w:ascii="Calibri" w:hAnsi="Calibri"/>
          <w:b w:val="0"/>
          <w:i w:val="0"/>
          <w:sz w:val="22"/>
        </w:rPr>
        <w:t>Continue Diclofenac Sodium Gel 1% topical for bilateral knee osteoarthritis.</w:t>
      </w:r>
    </w:p>
    <w:p>
      <w:pPr>
        <w:pStyle w:val="ListBullet"/>
      </w:pPr>
      <w:r>
        <w:rPr>
          <w:rFonts w:ascii="Calibri" w:hAnsi="Calibri"/>
          <w:b w:val="0"/>
          <w:i w:val="0"/>
          <w:sz w:val="22"/>
        </w:rPr>
        <w:t>Continue Preservative-Free Artificial Tears as needed.</w:t>
      </w:r>
    </w:p>
    <w:p>
      <w:pPr>
        <w:pStyle w:val="ListBullet"/>
      </w:pPr>
      <w:r>
        <w:rPr>
          <w:rFonts w:ascii="Calibri" w:hAnsi="Calibri"/>
          <w:b w:val="0"/>
          <w:i w:val="0"/>
          <w:sz w:val="22"/>
        </w:rPr>
        <w:t>Ophthalmology follow-up for bilateral cataracts recommended within 6 months.</w:t>
      </w:r>
    </w:p>
    <w:p>
      <w:pPr>
        <w:pStyle w:val="ListBullet"/>
      </w:pPr>
      <w:r>
        <w:rPr>
          <w:rFonts w:ascii="Calibri" w:hAnsi="Calibri"/>
          <w:b w:val="0"/>
          <w:i w:val="0"/>
          <w:sz w:val="22"/>
        </w:rPr>
        <w:t>Cardiology follow-up with Dr. Felicia Adams recommended (last visit January 2026).</w:t>
      </w:r>
    </w:p>
    <w:p>
      <w:pPr>
        <w:pStyle w:val="ListBullet"/>
      </w:pPr>
      <w:r>
        <w:rPr>
          <w:rFonts w:ascii="Calibri" w:hAnsi="Calibri"/>
          <w:b w:val="0"/>
          <w:i w:val="0"/>
          <w:sz w:val="22"/>
        </w:rPr>
        <w:t>Endocrinology follow-up with Dr. Kevin Owens per schedule.</w:t>
      </w:r>
    </w:p>
    <w:p>
      <w:pPr>
        <w:pStyle w:val="ListBullet"/>
      </w:pPr>
      <w:r>
        <w:rPr>
          <w:rFonts w:ascii="Calibri" w:hAnsi="Calibri"/>
          <w:b w:val="0"/>
          <w:i w:val="0"/>
          <w:sz w:val="22"/>
        </w:rPr>
        <w:t>Dietary referral: reduce LDL through reduced saturated fat; reduce triglycerides through reduced refined carbohydrate and alcohol.</w:t>
      </w:r>
    </w:p>
    <w:p>
      <w:pPr>
        <w:pStyle w:val="ListBullet"/>
      </w:pPr>
      <w:r>
        <w:rPr>
          <w:rFonts w:ascii="Calibri" w:hAnsi="Calibri"/>
          <w:b w:val="0"/>
          <w:i w:val="0"/>
          <w:sz w:val="22"/>
        </w:rPr>
        <w:t>Continue walking program (3 miles daily) - excellent adherence noted.</w:t>
      </w:r>
    </w:p>
    <w:p>
      <w:pPr>
        <w:pStyle w:val="ListBullet"/>
      </w:pPr>
      <w:r>
        <w:rPr>
          <w:rFonts w:ascii="Calibri" w:hAnsi="Calibri"/>
          <w:b w:val="0"/>
          <w:i w:val="0"/>
          <w:sz w:val="22"/>
        </w:rPr>
        <w:t>Return for annual wellness visit: February 2027.</w:t>
      </w:r>
    </w:p>
    <w:p/>
    <w:p>
      <w:r>
        <w:rPr>
          <w:rFonts w:ascii="Calibri" w:hAnsi="Calibri"/>
          <w:b w:val="0"/>
          <w:i w:val="0"/>
          <w:sz w:val="22"/>
        </w:rPr>
        <w:t>Please do not hesitate to call our office if you have any questions about your results or your care plan. We have sent copies of your lab results to Dr. Owens and Dr. Adams per your authorization.</w:t>
      </w:r>
    </w:p>
    <w:p/>
    <w:p>
      <w:r>
        <w:rPr>
          <w:rFonts w:ascii="Calibri" w:hAnsi="Calibri"/>
          <w:b w:val="0"/>
          <w:i w:val="0"/>
          <w:sz w:val="22"/>
        </w:rPr>
        <w:t>Warm regards,</w:t>
      </w:r>
    </w:p>
    <w:p/>
    <w:p/>
    <w:p>
      <w:r>
        <w:rPr>
          <w:rFonts w:ascii="Calibri" w:hAnsi="Calibri"/>
          <w:b w:val="0"/>
          <w:i w:val="0"/>
          <w:sz w:val="22"/>
        </w:rPr>
        <w:t>Beth Anderson, M.D.</w:t>
      </w:r>
    </w:p>
    <w:p>
      <w:r>
        <w:rPr>
          <w:rFonts w:ascii="Calibri" w:hAnsi="Calibri"/>
          <w:b w:val="0"/>
          <w:i w:val="0"/>
          <w:sz w:val="22"/>
        </w:rPr>
        <w:t>Montgomery Internal Medicine Associates</w:t>
      </w:r>
    </w:p>
    <w:p>
      <w:r>
        <w:rPr>
          <w:rFonts w:ascii="Calibri" w:hAnsi="Calibri"/>
          <w:b w:val="0"/>
          <w:i w:val="0"/>
          <w:sz w:val="22"/>
        </w:rPr>
        <w:t>(301) 622-4100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