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2A3A"/>
          <w:sz w:val="30"/>
        </w:rPr>
        <w:t>Westchester Medical Group — Primary Care</w:t>
      </w:r>
    </w:p>
    <w:p>
      <w:r>
        <w:rPr>
          <w:color w:val="5B6B7B"/>
          <w:sz w:val="17"/>
        </w:rPr>
        <w:t>Dr. Sean Flanagan, MD  ·  200 Corporate Blvd S, Yonkers, NY 10701  ·  (914) 968-0282</w:t>
      </w:r>
    </w:p>
    <w:p>
      <w:pPr>
        <w:pBdr>
          <w:bottom w:val="single" w:sz="12" w:space="1" w:color="3A5A78"/>
        </w:pBdr>
      </w:pPr>
    </w:p>
    <w:p>
      <w:r>
        <w:rPr>
          <w:b/>
          <w:color w:val="3A5A78"/>
          <w:sz w:val="26"/>
        </w:rPr>
        <w:t>Primary Care Progress Note</w:t>
      </w:r>
    </w:p>
    <w:tbl>
      <w:tblPr>
        <w:tblW w:type="auto" w:w="0"/>
        <w:jc w:val="left"/>
        <w:tblLook w:firstColumn="1" w:firstRow="1" w:lastColumn="0" w:lastRow="0" w:noHBand="0" w:noVBand="1" w:val="04A0"/>
      </w:tblPr>
      <w:tblGrid>
        <w:gridCol w:w="2376"/>
        <w:gridCol w:w="2376"/>
        <w:gridCol w:w="2376"/>
        <w:gridCol w:w="2376"/>
      </w:tblGrid>
      <w:tr>
        <w:tc>
          <w:tcPr>
            <w:tcW w:type="dxa" w:w="2160"/>
          </w:tcPr>
          <w:p>
            <w:r>
              <w:rPr>
                <w:b/>
                <w:color w:val="5B6B7B"/>
                <w:sz w:val="18"/>
              </w:rPr>
              <w:t>Patient</w:t>
            </w:r>
          </w:p>
        </w:tc>
        <w:tc>
          <w:tcPr>
            <w:tcW w:type="dxa" w:w="2880"/>
          </w:tcPr>
          <w:p>
            <w:r>
              <w:rPr>
                <w:sz w:val="19"/>
              </w:rPr>
              <w:t>Chris Johnson</w:t>
            </w:r>
          </w:p>
        </w:tc>
        <w:tc>
          <w:tcPr>
            <w:tcW w:type="dxa" w:w="2160"/>
          </w:tcPr>
          <w:p>
            <w:r>
              <w:rPr>
                <w:b/>
                <w:color w:val="5B6B7B"/>
                <w:sz w:val="18"/>
              </w:rPr>
              <w:t>DOB</w:t>
            </w:r>
          </w:p>
        </w:tc>
        <w:tc>
          <w:tcPr>
            <w:tcW w:type="dxa" w:w="2592"/>
          </w:tcPr>
          <w:p>
            <w:r>
              <w:rPr>
                <w:sz w:val="19"/>
              </w:rPr>
              <w:t>1981-11-12</w:t>
            </w:r>
          </w:p>
        </w:tc>
      </w:tr>
      <w:tr>
        <w:tc>
          <w:tcPr>
            <w:tcW w:type="dxa" w:w="2160"/>
          </w:tcPr>
          <w:p>
            <w:r>
              <w:rPr>
                <w:b/>
                <w:color w:val="5B6B7B"/>
                <w:sz w:val="18"/>
              </w:rPr>
              <w:t>Visit date</w:t>
            </w:r>
          </w:p>
        </w:tc>
        <w:tc>
          <w:tcPr>
            <w:tcW w:type="dxa" w:w="2880"/>
          </w:tcPr>
          <w:p>
            <w:r>
              <w:rPr>
                <w:sz w:val="19"/>
              </w:rPr>
              <w:t>2026-02-15</w:t>
            </w:r>
          </w:p>
        </w:tc>
        <w:tc>
          <w:tcPr>
            <w:tcW w:type="dxa" w:w="2160"/>
          </w:tcPr>
          <w:p>
            <w:r>
              <w:rPr>
                <w:b/>
                <w:color w:val="5B6B7B"/>
                <w:sz w:val="18"/>
              </w:rPr>
              <w:t>Provider</w:t>
            </w:r>
          </w:p>
        </w:tc>
        <w:tc>
          <w:tcPr>
            <w:tcW w:type="dxa" w:w="2592"/>
          </w:tcPr>
          <w:p>
            <w:r>
              <w:rPr>
                <w:sz w:val="19"/>
              </w:rPr>
              <w:t>Dr. Sean Flanagan</w:t>
            </w:r>
          </w:p>
        </w:tc>
      </w:tr>
      <w:tr>
        <w:tc>
          <w:tcPr>
            <w:tcW w:type="dxa" w:w="2160"/>
          </w:tcPr>
          <w:p>
            <w:r>
              <w:rPr>
                <w:b/>
                <w:color w:val="5B6B7B"/>
                <w:sz w:val="18"/>
              </w:rPr>
              <w:t>Reason</w:t>
            </w:r>
          </w:p>
        </w:tc>
        <w:tc>
          <w:tcPr>
            <w:tcW w:type="dxa" w:w="2880"/>
          </w:tcPr>
          <w:p>
            <w:r>
              <w:rPr>
                <w:sz w:val="19"/>
              </w:rPr>
              <w:t>Lipid recheck, med management</w:t>
            </w:r>
          </w:p>
        </w:tc>
        <w:tc>
          <w:tcPr>
            <w:tcW w:type="dxa" w:w="2160"/>
          </w:tcPr>
          <w:p>
            <w:r>
              <w:rPr>
                <w:b/>
                <w:color w:val="5B6B7B"/>
                <w:sz w:val="18"/>
              </w:rPr>
              <w:t>BP</w:t>
            </w:r>
          </w:p>
        </w:tc>
        <w:tc>
          <w:tcPr>
            <w:tcW w:type="dxa" w:w="2592"/>
          </w:tcPr>
          <w:p>
            <w:r>
              <w:rPr>
                <w:sz w:val="19"/>
              </w:rPr>
              <w:t>132/84</w:t>
            </w:r>
          </w:p>
        </w:tc>
      </w:tr>
    </w:tbl>
    <w:p>
      <w:pPr>
        <w:spacing w:before="160" w:after="40"/>
      </w:pPr>
      <w:r>
        <w:rPr>
          <w:b/>
          <w:color w:val="1B2A3A"/>
          <w:sz w:val="22"/>
        </w:rPr>
        <w:t>Vitals &amp; Measurements</w:t>
      </w:r>
    </w:p>
    <w:tbl>
      <w:tblPr>
        <w:tblW w:type="auto" w:w="0"/>
        <w:jc w:val="left"/>
        <w:tblLook w:firstColumn="1" w:firstRow="1" w:lastColumn="0" w:lastRow="0" w:noHBand="0" w:noVBand="1" w:val="04A0"/>
      </w:tblPr>
      <w:tblGrid>
        <w:gridCol w:w="2376"/>
        <w:gridCol w:w="2376"/>
        <w:gridCol w:w="2376"/>
        <w:gridCol w:w="2376"/>
      </w:tblGrid>
      <w:tr>
        <w:tc>
          <w:tcPr>
            <w:tcW w:type="dxa" w:w="2160"/>
          </w:tcPr>
          <w:p>
            <w:r>
              <w:rPr>
                <w:b/>
                <w:color w:val="5B6B7B"/>
                <w:sz w:val="18"/>
              </w:rPr>
              <w:t>Height</w:t>
            </w:r>
          </w:p>
        </w:tc>
        <w:tc>
          <w:tcPr>
            <w:tcW w:type="dxa" w:w="2880"/>
          </w:tcPr>
          <w:p>
            <w:r>
              <w:rPr>
                <w:sz w:val="19"/>
              </w:rPr>
              <w:t>5 ft 11 in</w:t>
            </w:r>
          </w:p>
        </w:tc>
        <w:tc>
          <w:tcPr>
            <w:tcW w:type="dxa" w:w="2160"/>
          </w:tcPr>
          <w:p>
            <w:r>
              <w:rPr>
                <w:b/>
                <w:color w:val="5B6B7B"/>
                <w:sz w:val="18"/>
              </w:rPr>
              <w:t>Weight</w:t>
            </w:r>
          </w:p>
        </w:tc>
        <w:tc>
          <w:tcPr>
            <w:tcW w:type="dxa" w:w="2592"/>
          </w:tcPr>
          <w:p>
            <w:r>
              <w:rPr>
                <w:sz w:val="19"/>
              </w:rPr>
              <w:t>210 lb</w:t>
            </w:r>
          </w:p>
        </w:tc>
      </w:tr>
      <w:tr>
        <w:tc>
          <w:tcPr>
            <w:tcW w:type="dxa" w:w="2160"/>
          </w:tcPr>
          <w:p>
            <w:r>
              <w:rPr>
                <w:b/>
                <w:color w:val="5B6B7B"/>
                <w:sz w:val="18"/>
              </w:rPr>
              <w:t>BMI</w:t>
            </w:r>
          </w:p>
        </w:tc>
        <w:tc>
          <w:tcPr>
            <w:tcW w:type="dxa" w:w="2880"/>
          </w:tcPr>
          <w:p>
            <w:r>
              <w:rPr>
                <w:sz w:val="19"/>
              </w:rPr>
              <w:t>29.3</w:t>
            </w:r>
          </w:p>
        </w:tc>
        <w:tc>
          <w:tcPr>
            <w:tcW w:type="dxa" w:w="2160"/>
          </w:tcPr>
          <w:p>
            <w:r>
              <w:rPr>
                <w:b/>
                <w:color w:val="5B6B7B"/>
                <w:sz w:val="18"/>
              </w:rPr>
              <w:t>Pulse</w:t>
            </w:r>
          </w:p>
        </w:tc>
        <w:tc>
          <w:tcPr>
            <w:tcW w:type="dxa" w:w="2592"/>
          </w:tcPr>
          <w:p>
            <w:r>
              <w:rPr>
                <w:sz w:val="19"/>
              </w:rPr>
              <w:t>72</w:t>
            </w:r>
          </w:p>
        </w:tc>
      </w:tr>
      <w:tr>
        <w:tc>
          <w:tcPr>
            <w:tcW w:type="dxa" w:w="2160"/>
          </w:tcPr>
          <w:p>
            <w:r>
              <w:rPr>
                <w:b/>
                <w:color w:val="5B6B7B"/>
                <w:sz w:val="18"/>
              </w:rPr>
              <w:t>Waist</w:t>
            </w:r>
          </w:p>
        </w:tc>
        <w:tc>
          <w:tcPr>
            <w:tcW w:type="dxa" w:w="2880"/>
          </w:tcPr>
          <w:p>
            <w:r>
              <w:rPr>
                <w:sz w:val="19"/>
              </w:rPr>
              <w:t>39 in</w:t>
            </w:r>
          </w:p>
        </w:tc>
        <w:tc>
          <w:tcPr>
            <w:tcW w:type="dxa" w:w="2160"/>
          </w:tcPr>
          <w:p>
            <w:r>
              <w:rPr>
                <w:b/>
                <w:color w:val="5B6B7B"/>
                <w:sz w:val="18"/>
              </w:rPr>
              <w:t>Target weight</w:t>
            </w:r>
          </w:p>
        </w:tc>
        <w:tc>
          <w:tcPr>
            <w:tcW w:type="dxa" w:w="2592"/>
          </w:tcPr>
          <w:p>
            <w:r>
              <w:rPr>
                <w:sz w:val="19"/>
              </w:rPr>
              <w:t>≈ 195 lb</w:t>
            </w:r>
          </w:p>
        </w:tc>
      </w:tr>
    </w:tbl>
    <w:p>
      <w:pPr>
        <w:spacing w:before="160" w:after="40"/>
      </w:pPr>
      <w:r>
        <w:rPr>
          <w:b/>
          <w:color w:val="1B2A3A"/>
          <w:sz w:val="22"/>
        </w:rPr>
        <w:t>Lipid Panel (fasting, 2026-02-12)</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3168"/>
            <w:shd w:val="clear" w:fill="3A5A78"/>
          </w:tcPr>
          <w:p>
            <w:r>
              <w:rPr>
                <w:b/>
                <w:color w:val="FFFFFF"/>
                <w:sz w:val="18"/>
              </w:rPr>
              <w:t>Marker</w:t>
            </w:r>
          </w:p>
        </w:tc>
        <w:tc>
          <w:tcPr>
            <w:tcW w:type="dxa" w:w="2304"/>
            <w:shd w:val="clear" w:fill="3A5A78"/>
          </w:tcPr>
          <w:p>
            <w:r>
              <w:rPr>
                <w:b/>
                <w:color w:val="FFFFFF"/>
                <w:sz w:val="18"/>
              </w:rPr>
              <w:t>Result</w:t>
            </w:r>
          </w:p>
        </w:tc>
        <w:tc>
          <w:tcPr>
            <w:tcW w:type="dxa" w:w="2448"/>
            <w:shd w:val="clear" w:fill="3A5A78"/>
          </w:tcPr>
          <w:p>
            <w:r>
              <w:rPr>
                <w:b/>
                <w:color w:val="FFFFFF"/>
                <w:sz w:val="18"/>
              </w:rPr>
              <w:t>Reference</w:t>
            </w:r>
          </w:p>
        </w:tc>
        <w:tc>
          <w:tcPr>
            <w:tcW w:type="dxa" w:w="1872"/>
            <w:shd w:val="clear" w:fill="3A5A78"/>
          </w:tcPr>
          <w:p>
            <w:r>
              <w:rPr>
                <w:b/>
                <w:color w:val="FFFFFF"/>
                <w:sz w:val="18"/>
              </w:rPr>
              <w:t>Flag</w:t>
            </w:r>
          </w:p>
        </w:tc>
      </w:tr>
      <w:tr>
        <w:tc>
          <w:tcPr>
            <w:tcW w:type="dxa" w:w="3168"/>
          </w:tcPr>
          <w:p>
            <w:r>
              <w:rPr>
                <w:sz w:val="18"/>
              </w:rPr>
              <w:t>Total cholesterol</w:t>
            </w:r>
          </w:p>
        </w:tc>
        <w:tc>
          <w:tcPr>
            <w:tcW w:type="dxa" w:w="2304"/>
          </w:tcPr>
          <w:p>
            <w:r>
              <w:rPr>
                <w:sz w:val="18"/>
              </w:rPr>
              <w:t>212 mg/dL</w:t>
            </w:r>
          </w:p>
        </w:tc>
        <w:tc>
          <w:tcPr>
            <w:tcW w:type="dxa" w:w="2448"/>
          </w:tcPr>
          <w:p>
            <w:r>
              <w:rPr>
                <w:sz w:val="18"/>
              </w:rPr>
              <w:t>&lt; 200</w:t>
            </w:r>
          </w:p>
        </w:tc>
        <w:tc>
          <w:tcPr>
            <w:tcW w:type="dxa" w:w="1872"/>
          </w:tcPr>
          <w:p>
            <w:r>
              <w:rPr>
                <w:sz w:val="18"/>
              </w:rPr>
              <w:t>High</w:t>
            </w:r>
          </w:p>
        </w:tc>
      </w:tr>
      <w:tr>
        <w:tc>
          <w:tcPr>
            <w:tcW w:type="dxa" w:w="3168"/>
            <w:shd w:val="clear" w:fill="EEF3F7"/>
          </w:tcPr>
          <w:p>
            <w:r>
              <w:rPr>
                <w:sz w:val="18"/>
              </w:rPr>
              <w:t>LDL cholesterol</w:t>
            </w:r>
          </w:p>
        </w:tc>
        <w:tc>
          <w:tcPr>
            <w:tcW w:type="dxa" w:w="2304"/>
            <w:shd w:val="clear" w:fill="EEF3F7"/>
          </w:tcPr>
          <w:p>
            <w:r>
              <w:rPr>
                <w:sz w:val="18"/>
              </w:rPr>
              <w:t>128 mg/dL</w:t>
            </w:r>
          </w:p>
        </w:tc>
        <w:tc>
          <w:tcPr>
            <w:tcW w:type="dxa" w:w="2448"/>
            <w:shd w:val="clear" w:fill="EEF3F7"/>
          </w:tcPr>
          <w:p>
            <w:r>
              <w:rPr>
                <w:sz w:val="18"/>
              </w:rPr>
              <w:t>&lt; 100 (goal)</w:t>
            </w:r>
          </w:p>
        </w:tc>
        <w:tc>
          <w:tcPr>
            <w:tcW w:type="dxa" w:w="1872"/>
            <w:shd w:val="clear" w:fill="EEF3F7"/>
          </w:tcPr>
          <w:p>
            <w:r>
              <w:rPr>
                <w:sz w:val="18"/>
              </w:rPr>
              <w:t>High</w:t>
            </w:r>
          </w:p>
        </w:tc>
      </w:tr>
      <w:tr>
        <w:tc>
          <w:tcPr>
            <w:tcW w:type="dxa" w:w="3168"/>
          </w:tcPr>
          <w:p>
            <w:r>
              <w:rPr>
                <w:sz w:val="18"/>
              </w:rPr>
              <w:t>HDL cholesterol</w:t>
            </w:r>
          </w:p>
        </w:tc>
        <w:tc>
          <w:tcPr>
            <w:tcW w:type="dxa" w:w="2304"/>
          </w:tcPr>
          <w:p>
            <w:r>
              <w:rPr>
                <w:sz w:val="18"/>
              </w:rPr>
              <w:t>52 mg/dL</w:t>
            </w:r>
          </w:p>
        </w:tc>
        <w:tc>
          <w:tcPr>
            <w:tcW w:type="dxa" w:w="2448"/>
          </w:tcPr>
          <w:p>
            <w:r>
              <w:rPr>
                <w:sz w:val="18"/>
              </w:rPr>
              <w:t>&gt; 40</w:t>
            </w:r>
          </w:p>
        </w:tc>
        <w:tc>
          <w:tcPr>
            <w:tcW w:type="dxa" w:w="1872"/>
          </w:tcPr>
          <w:p>
            <w:r>
              <w:rPr>
                <w:sz w:val="18"/>
              </w:rPr>
              <w:t>Normal</w:t>
            </w:r>
          </w:p>
        </w:tc>
      </w:tr>
      <w:tr>
        <w:tc>
          <w:tcPr>
            <w:tcW w:type="dxa" w:w="3168"/>
            <w:shd w:val="clear" w:fill="EEF3F7"/>
          </w:tcPr>
          <w:p>
            <w:r>
              <w:rPr>
                <w:sz w:val="18"/>
              </w:rPr>
              <w:t>Triglycerides</w:t>
            </w:r>
          </w:p>
        </w:tc>
        <w:tc>
          <w:tcPr>
            <w:tcW w:type="dxa" w:w="2304"/>
            <w:shd w:val="clear" w:fill="EEF3F7"/>
          </w:tcPr>
          <w:p>
            <w:r>
              <w:rPr>
                <w:sz w:val="18"/>
              </w:rPr>
              <w:t>160 mg/dL</w:t>
            </w:r>
          </w:p>
        </w:tc>
        <w:tc>
          <w:tcPr>
            <w:tcW w:type="dxa" w:w="2448"/>
            <w:shd w:val="clear" w:fill="EEF3F7"/>
          </w:tcPr>
          <w:p>
            <w:r>
              <w:rPr>
                <w:sz w:val="18"/>
              </w:rPr>
              <w:t>&lt; 150</w:t>
            </w:r>
          </w:p>
        </w:tc>
        <w:tc>
          <w:tcPr>
            <w:tcW w:type="dxa" w:w="1872"/>
            <w:shd w:val="clear" w:fill="EEF3F7"/>
          </w:tcPr>
          <w:p>
            <w:r>
              <w:rPr>
                <w:sz w:val="18"/>
              </w:rPr>
              <w:t>Borderline</w:t>
            </w:r>
          </w:p>
        </w:tc>
      </w:tr>
    </w:tbl>
    <w:p>
      <w:pPr>
        <w:spacing w:before="160" w:after="40"/>
      </w:pPr>
      <w:r>
        <w:rPr>
          <w:b/>
          <w:color w:val="1B2A3A"/>
          <w:sz w:val="22"/>
        </w:rPr>
        <w:t>Assessment &amp; Plan</w:t>
      </w:r>
    </w:p>
    <w:p>
      <w:pPr>
        <w:spacing w:after="100"/>
        <w:jc w:val="both"/>
      </w:pPr>
      <w:r>
        <w:rPr>
          <w:sz w:val="20"/>
        </w:rPr>
        <w:t>Hyperlipidemia, LDL above goal. Continue rosuvastatin 10 mg nightly with dinner. Reinforced reduction of red meat and alcohol; the patient notes both slip during barbecue competitions and firehouse dinners. Spouse is managing the home diet with more fish and less red meat. Recheck lipid panel and liver function in ten months.</w:t>
      </w:r>
    </w:p>
    <w:p>
      <w:pPr>
        <w:pStyle w:val="ListBullet"/>
      </w:pPr>
      <w:r>
        <w:rPr>
          <w:color w:val="1B2A3A"/>
          <w:sz w:val="20"/>
        </w:rPr>
        <w:t>Continue rosuvastatin 10 mg nightly; no muscle symptoms reported.</w:t>
      </w:r>
    </w:p>
    <w:p>
      <w:pPr>
        <w:pStyle w:val="ListBullet"/>
      </w:pPr>
      <w:r>
        <w:rPr>
          <w:color w:val="1B2A3A"/>
          <w:sz w:val="20"/>
        </w:rPr>
        <w:t>Reduce red meat to twice weekly; limit alcohol to weekends.</w:t>
      </w:r>
    </w:p>
    <w:p>
      <w:pPr>
        <w:pStyle w:val="ListBullet"/>
      </w:pPr>
      <w:r>
        <w:rPr>
          <w:color w:val="1B2A3A"/>
          <w:sz w:val="20"/>
        </w:rPr>
        <w:t>Target 15 lb weight loss through off-day walks and Peloton.</w:t>
      </w:r>
    </w:p>
    <w:p>
      <w:pPr>
        <w:pStyle w:val="ListBullet"/>
      </w:pPr>
      <w:r>
        <w:rPr>
          <w:color w:val="1B2A3A"/>
          <w:sz w:val="20"/>
        </w:rPr>
        <w:t>Cholesterol recheck scheduled 2026-12-01.</w:t>
      </w:r>
    </w:p>
    <w:p>
      <w:pPr>
        <w:shd w:val="clear" w:fill="FBF6E9"/>
        <w:spacing w:before="80" w:after="80"/>
      </w:pPr>
      <w:r>
        <w:rPr>
          <w:b/>
          <w:sz w:val="18"/>
        </w:rPr>
        <w:t xml:space="preserve">Confidential:  </w:t>
      </w:r>
      <w:r>
        <w:rPr>
          <w:sz w:val="18"/>
        </w:rPr>
        <w:t>This note contains protected health information. It stays in the household medical records and is not shared with employers or included in any accountant package. The December 1 recheck will update the panel figures.</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