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2A3A"/>
          <w:sz w:val="30"/>
        </w:rPr>
        <w:t>John Jay College — EMS Program</w:t>
      </w:r>
    </w:p>
    <w:p>
      <w:r>
        <w:rPr>
          <w:color w:val="5B6B7B"/>
          <w:sz w:val="17"/>
        </w:rPr>
        <w:t>EMS 101 Lesson Notes  ·  Instructor: Chris Johnson</w:t>
      </w:r>
    </w:p>
    <w:p>
      <w:pPr>
        <w:pBdr>
          <w:bottom w:val="single" w:sz="12" w:space="1" w:color="3A5A78"/>
        </w:pBdr>
      </w:pPr>
    </w:p>
    <w:p>
      <w:r>
        <w:rPr>
          <w:b/>
          <w:color w:val="3A5A78"/>
          <w:sz w:val="26"/>
        </w:rPr>
        <w:t>EMS 101 — Course Outline &amp; Lesson Notes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160"/>
          </w:tcPr>
          <w:p>
            <w:r>
              <w:rPr>
                <w:b/>
                <w:color w:val="5B6B7B"/>
                <w:sz w:val="18"/>
              </w:rPr>
              <w:t>Course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EMS 101 (EMT-Basic)</w:t>
            </w:r>
          </w:p>
        </w:tc>
        <w:tc>
          <w:tcPr>
            <w:tcW w:type="dxa" w:w="2160"/>
          </w:tcPr>
          <w:p>
            <w:r>
              <w:rPr>
                <w:b/>
                <w:color w:val="5B6B7B"/>
                <w:sz w:val="18"/>
              </w:rPr>
              <w:t>Term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Fall 2026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5B6B7B"/>
                <w:sz w:val="18"/>
              </w:rPr>
              <w:t>Instructor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Chris Johnson</w:t>
            </w:r>
          </w:p>
        </w:tc>
        <w:tc>
          <w:tcPr>
            <w:tcW w:type="dxa" w:w="2160"/>
          </w:tcPr>
          <w:p>
            <w:r>
              <w:rPr>
                <w:b/>
                <w:color w:val="5B6B7B"/>
                <w:sz w:val="18"/>
              </w:rPr>
              <w:t>Chair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Dr. Angela Torres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5B6B7B"/>
                <w:sz w:val="18"/>
              </w:rPr>
              <w:t>Meets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Tue/Thu 6–9 PM</w:t>
            </w:r>
          </w:p>
        </w:tc>
        <w:tc>
          <w:tcPr>
            <w:tcW w:type="dxa" w:w="2160"/>
          </w:tcPr>
          <w:p>
            <w:r>
              <w:rPr>
                <w:b/>
                <w:color w:val="5B6B7B"/>
                <w:sz w:val="18"/>
              </w:rPr>
              <w:t>Emphasis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Forcible entry &amp; rapid triage</w:t>
            </w:r>
          </w:p>
        </w:tc>
      </w:tr>
    </w:tbl>
    <w:p>
      <w:pPr>
        <w:spacing w:before="160" w:after="40"/>
      </w:pPr>
      <w:r>
        <w:rPr>
          <w:b/>
          <w:color w:val="1B2A3A"/>
          <w:sz w:val="22"/>
        </w:rPr>
        <w:t>Unit Outline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1152"/>
            <w:shd w:val="clear" w:fill="3A5A78"/>
          </w:tcPr>
          <w:p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3744"/>
            <w:shd w:val="clear" w:fill="3A5A78"/>
          </w:tcPr>
          <w:p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4464"/>
            <w:shd w:val="clear" w:fill="3A5A78"/>
          </w:tcPr>
          <w:p>
            <w:r>
              <w:rPr>
                <w:b/>
                <w:color w:val="FFFFFF"/>
                <w:sz w:val="18"/>
              </w:rPr>
              <w:t>Field example (FDNY)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EMS system &amp; safety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Scene size-up at a Midtown run</w:t>
            </w:r>
          </w:p>
        </w:tc>
      </w:tr>
      <w:tr>
        <w:tc>
          <w:tcPr>
            <w:tcW w:type="dxa" w:w="1152"/>
            <w:shd w:val="clear" w:fill="EEF3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744"/>
            <w:shd w:val="clear" w:fill="EEF3F7"/>
          </w:tcPr>
          <w:p>
            <w:r>
              <w:rPr>
                <w:sz w:val="18"/>
              </w:rPr>
              <w:t>Patient assessment</w:t>
            </w:r>
          </w:p>
        </w:tc>
        <w:tc>
          <w:tcPr>
            <w:tcW w:type="dxa" w:w="4464"/>
            <w:shd w:val="clear" w:fill="EEF3F7"/>
          </w:tcPr>
          <w:p>
            <w:r>
              <w:rPr>
                <w:sz w:val="18"/>
              </w:rPr>
              <w:t>Primary survey under load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Airway management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BVM in a smoke environment</w:t>
            </w:r>
          </w:p>
        </w:tc>
      </w:tr>
      <w:tr>
        <w:tc>
          <w:tcPr>
            <w:tcW w:type="dxa" w:w="1152"/>
            <w:shd w:val="clear" w:fill="EEF3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744"/>
            <w:shd w:val="clear" w:fill="EEF3F7"/>
          </w:tcPr>
          <w:p>
            <w:r>
              <w:rPr>
                <w:sz w:val="18"/>
              </w:rPr>
              <w:t>Trauma emergencies</w:t>
            </w:r>
          </w:p>
        </w:tc>
        <w:tc>
          <w:tcPr>
            <w:tcW w:type="dxa" w:w="4464"/>
            <w:shd w:val="clear" w:fill="EEF3F7"/>
          </w:tcPr>
          <w:p>
            <w:r>
              <w:rPr>
                <w:sz w:val="18"/>
              </w:rPr>
              <w:t>Forcible-entry injuries, extrication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Medical emergencies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Cardiac, respiratory, stroke</w:t>
            </w:r>
          </w:p>
        </w:tc>
      </w:tr>
      <w:tr>
        <w:tc>
          <w:tcPr>
            <w:tcW w:type="dxa" w:w="1152"/>
            <w:shd w:val="clear" w:fill="EEF3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744"/>
            <w:shd w:val="clear" w:fill="EEF3F7"/>
          </w:tcPr>
          <w:p>
            <w:r>
              <w:rPr>
                <w:sz w:val="18"/>
              </w:rPr>
              <w:t>Mass-casualty &amp; triage</w:t>
            </w:r>
          </w:p>
        </w:tc>
        <w:tc>
          <w:tcPr>
            <w:tcW w:type="dxa" w:w="4464"/>
            <w:shd w:val="clear" w:fill="EEF3F7"/>
          </w:tcPr>
          <w:p>
            <w:r>
              <w:rPr>
                <w:sz w:val="18"/>
              </w:rPr>
              <w:t>START on a multi-alarm fire</w:t>
            </w:r>
          </w:p>
        </w:tc>
      </w:tr>
    </w:tbl>
    <w:p>
      <w:pPr>
        <w:spacing w:before="160" w:after="40"/>
      </w:pPr>
      <w:r>
        <w:rPr>
          <w:b/>
          <w:color w:val="1B2A3A"/>
          <w:sz w:val="22"/>
        </w:rPr>
        <w:t>Teaching Notes</w:t>
      </w:r>
    </w:p>
    <w:p>
      <w:pPr>
        <w:spacing w:after="100"/>
        <w:jc w:val="both"/>
      </w:pPr>
      <w:r>
        <w:rPr>
          <w:sz w:val="20"/>
        </w:rPr>
        <w:t>Lessons are anchored in real fireground experience. Forcible entry and rapid triage receive extra emphasis because they translate directly to the field and hold student attention. The mass-casualty drill uses thirty-eight role players and targets sorting all patients in under nine minutes using START. Skills labs run a pass-and-refine model so every student clears each station before the practical exam.</w:t>
      </w:r>
    </w:p>
    <w:p>
      <w:pPr>
        <w:pStyle w:val="ListBullet"/>
      </w:pPr>
      <w:r>
        <w:rPr>
          <w:color w:val="1B2A3A"/>
          <w:sz w:val="20"/>
        </w:rPr>
        <w:t>Open each unit with a short case from a Midtown run to frame the objective.</w:t>
      </w:r>
    </w:p>
    <w:p>
      <w:pPr>
        <w:pStyle w:val="ListBullet"/>
      </w:pPr>
      <w:r>
        <w:rPr>
          <w:color w:val="1B2A3A"/>
          <w:sz w:val="20"/>
        </w:rPr>
        <w:t>Pair students for skills so the stronger coaches the developing one.</w:t>
      </w:r>
    </w:p>
    <w:p>
      <w:pPr>
        <w:pStyle w:val="ListBullet"/>
      </w:pPr>
      <w:r>
        <w:rPr>
          <w:color w:val="1B2A3A"/>
          <w:sz w:val="20"/>
        </w:rPr>
        <w:t>Use the Vimeo skills library for pre-lab review and absence make-ups.</w:t>
      </w:r>
    </w:p>
    <w:p>
      <w:pPr>
        <w:pStyle w:val="ListBullet"/>
      </w:pPr>
      <w:r>
        <w:rPr>
          <w:color w:val="1B2A3A"/>
          <w:sz w:val="20"/>
        </w:rPr>
        <w:t>Track cohort pass-rate against the 95 percent program target.</w:t>
      </w:r>
    </w:p>
    <w:p>
      <w:pPr>
        <w:shd w:val="clear" w:fill="FBF6E9"/>
        <w:spacing w:before="80" w:after="80"/>
      </w:pPr>
      <w:r>
        <w:rPr>
          <w:b/>
          <w:sz w:val="18"/>
        </w:rPr>
        <w:t xml:space="preserve">Prep:  </w:t>
      </w:r>
      <w:r>
        <w:rPr>
          <w:sz w:val="18"/>
        </w:rPr>
        <w:t>Exam bank and practical checklists are uploaded to the program folder for the chair's review. Course materials are non-confidential teaching content and are separate from any household financial or medical records.</w:t>
      </w:r>
    </w:p>
    <w:sectPr w:rsidR="00FC693F" w:rsidRPr="0006063C" w:rsidSect="00034616">
      <w:pgSz w:w="12240" w:h="15840"/>
      <w:pgMar w:top="1152" w:right="1368" w:bottom="1152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B2A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