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Performance Review Notes - Q4 2026 - Corey Holloway</w:t>
      </w:r>
    </w:p>
    <w:p>
      <w:r>
        <w:t>Q4 performance and compensation update with Raj Mehta scheduled November 2026. Pre-meeting prep notes.</w:t>
      </w:r>
    </w:p>
    <w:p>
      <w:pPr>
        <w:pStyle w:val="Heading1"/>
      </w:pPr>
      <w:r>
        <w:t>Talking Points to Raise</w:t>
      </w:r>
    </w:p>
    <w:p>
      <w:pPr>
        <w:pStyle w:val="ListBullet"/>
      </w:pPr>
      <w:r>
        <w:t>Kubernetes expansion: Q3 node pool target met; Q4 on track.</w:t>
      </w:r>
    </w:p>
    <w:p>
      <w:pPr>
        <w:pStyle w:val="ListBullet"/>
      </w:pPr>
      <w:r>
        <w:t>INC-2025-041 post-mortem: DNS TTL policy now in runbook v2.0 as process improvement example.</w:t>
      </w:r>
    </w:p>
    <w:p>
      <w:pPr>
        <w:pStyle w:val="ListBullet"/>
      </w:pPr>
      <w:r>
        <w:t>Junior SRE development: request formal mentoring recognition; both completed solo on-call Q4.</w:t>
      </w:r>
    </w:p>
    <w:p>
      <w:pPr>
        <w:pStyle w:val="ListBullet"/>
      </w:pPr>
      <w:r>
        <w:t>Compensation: current $175k base; market rate senior SRE Sacramento $190-210k. Raise discussion appropriate.</w:t>
      </w:r>
    </w:p>
    <w:p>
      <w:pPr>
        <w:pStyle w:val="Heading1"/>
      </w:pPr>
      <w:r>
        <w:t>Anticipated Feedback from Raj</w:t>
      </w:r>
    </w:p>
    <w:p>
      <w:pPr>
        <w:pStyle w:val="ListBullet"/>
      </w:pPr>
      <w:r>
        <w:t>Written communication to non-SRE stakeholders: share Confluence runbook v2.0 as evidence.</w:t>
      </w:r>
    </w:p>
    <w:p>
      <w:pPr>
        <w:pStyle w:val="ListBullet"/>
      </w:pPr>
      <w:r>
        <w:t>Delegation: agree; junior SREs to lead P2s with me shadowing.</w:t>
      </w:r>
    </w:p>
    <w:p>
      <w:pPr>
        <w:pStyle w:val="ListBullet"/>
      </w:pPr>
      <w:r>
        <w:t>On-call coverage for Q4 expansion window: confirm staffing plan.</w:t>
      </w:r>
    </w:p>
    <w:p>
      <w:pPr>
        <w:pStyle w:val="Heading1"/>
      </w:pPr>
      <w:r>
        <w:t>Review Outcome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Exceeds Expectations</w:t>
            </w:r>
          </w:p>
        </w:tc>
        <w:tc>
          <w:tcPr>
            <w:tcW w:type="dxa" w:w="2880"/>
          </w:tcPr>
          <w:p>
            <w:r>
              <w:t>INC response and capacity work</w:t>
            </w:r>
          </w:p>
        </w:tc>
      </w:tr>
      <w:tr>
        <w:tc>
          <w:tcPr>
            <w:tcW w:type="dxa" w:w="2880"/>
          </w:tcPr>
          <w:p>
            <w:r>
              <w:t>Raise</w:t>
            </w:r>
          </w:p>
        </w:tc>
        <w:tc>
          <w:tcPr>
            <w:tcW w:type="dxa" w:w="2880"/>
          </w:tcPr>
          <w:p>
            <w:r>
              <w:t>10-20 percent to $192-210k</w:t>
            </w:r>
          </w:p>
        </w:tc>
        <w:tc>
          <w:tcPr>
            <w:tcW w:type="dxa" w:w="2880"/>
          </w:tcPr>
          <w:p>
            <w:r>
              <w:t>Market correction; document rationale</w:t>
            </w:r>
          </w:p>
        </w:tc>
      </w:tr>
      <w:tr>
        <w:tc>
          <w:tcPr>
            <w:tcW w:type="dxa" w:w="2880"/>
          </w:tcPr>
          <w:p>
            <w:r>
              <w:t>RSU Refresh</w:t>
            </w:r>
          </w:p>
        </w:tc>
        <w:tc>
          <w:tcPr>
            <w:tcW w:type="dxa" w:w="2880"/>
          </w:tcPr>
          <w:p>
            <w:r>
              <w:t>$25k-$30k</w:t>
            </w:r>
          </w:p>
        </w:tc>
        <w:tc>
          <w:tcPr>
            <w:tcW w:type="dxa" w:w="2880"/>
          </w:tcPr>
          <w:p>
            <w:r>
              <w:t>Current vest ~$20k; 8 years tenure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