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SRE Runbook: Kubernetes Platform</w:t>
      </w:r>
    </w:p>
    <w:p>
      <w:pPr>
        <w:pStyle w:val="Heading1"/>
      </w:pPr>
      <w:r>
        <w:t>1. On-Call Intake Checklist</w:t>
      </w:r>
    </w:p>
    <w:p>
      <w:pPr>
        <w:pStyle w:val="ListBullet"/>
      </w:pPr>
      <w:r>
        <w:t>Acknowledge alert within 5 minutes.</w:t>
      </w:r>
    </w:p>
    <w:p>
      <w:pPr>
        <w:pStyle w:val="ListBullet"/>
      </w:pPr>
      <w:r>
        <w:t>Check incident severity: P1 customer-facing P2 degraded P3 internal.</w:t>
      </w:r>
    </w:p>
    <w:p>
      <w:pPr>
        <w:pStyle w:val="ListBullet"/>
      </w:pPr>
      <w:r>
        <w:t>Open Datadog: latency error rate saturation (USE method).</w:t>
      </w:r>
    </w:p>
    <w:p>
      <w:pPr>
        <w:pStyle w:val="ListBullet"/>
      </w:pPr>
      <w:r>
        <w:t>Check cluster health: nodes and pods across all namespaces.</w:t>
      </w:r>
    </w:p>
    <w:p>
      <w:pPr>
        <w:pStyle w:val="ListBullet"/>
      </w:pPr>
      <w:r>
        <w:t>Check DNS resolution before internal root-cause work.</w:t>
      </w:r>
    </w:p>
    <w:p>
      <w:pPr>
        <w:pStyle w:val="ListBullet"/>
      </w:pPr>
      <w:r>
        <w:t>If P1: notify Raj Mehta via Slack within 10 minutes.</w:t>
      </w:r>
    </w:p>
    <w:p>
      <w:pPr>
        <w:pStyle w:val="Heading1"/>
      </w:pPr>
      <w:r>
        <w:t>2. Common Failure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First 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160"/>
          </w:tcPr>
          <w:p>
            <w:r>
              <w:t>High latency and error rate</w:t>
            </w:r>
          </w:p>
        </w:tc>
        <w:tc>
          <w:tcPr>
            <w:tcW w:type="dxa" w:w="2160"/>
          </w:tcPr>
          <w:p>
            <w:r>
              <w:t>Pod restarts</w:t>
            </w:r>
          </w:p>
        </w:tc>
        <w:tc>
          <w:tcPr>
            <w:tcW w:type="dxa" w:w="2160"/>
          </w:tcPr>
          <w:p>
            <w:r>
              <w:t>OOM; resource limits</w:t>
            </w:r>
          </w:p>
        </w:tc>
        <w:tc>
          <w:tcPr>
            <w:tcW w:type="dxa" w:w="2160"/>
          </w:tcPr>
          <w:p>
            <w:r>
              <w:t>Increase memory limit; HPA floor</w:t>
            </w:r>
          </w:p>
        </w:tc>
      </w:tr>
      <w:tr>
        <w:tc>
          <w:tcPr>
            <w:tcW w:type="dxa" w:w="2160"/>
          </w:tcPr>
          <w:p>
            <w:r>
              <w:t>PVC provisioner delay</w:t>
            </w:r>
          </w:p>
        </w:tc>
        <w:tc>
          <w:tcPr>
            <w:tcW w:type="dxa" w:w="2160"/>
          </w:tcPr>
          <w:p>
            <w:r>
              <w:t>StorageClass</w:t>
            </w:r>
          </w:p>
        </w:tc>
        <w:tc>
          <w:tcPr>
            <w:tcW w:type="dxa" w:w="2160"/>
          </w:tcPr>
          <w:p>
            <w:r>
              <w:t>Class mismatch after upgrade</w:t>
            </w:r>
          </w:p>
        </w:tc>
        <w:tc>
          <w:tcPr>
            <w:tcW w:type="dxa" w:w="2160"/>
          </w:tcPr>
          <w:p>
            <w:r>
              <w:t>Explicit storageClass in manifest</w:t>
            </w:r>
          </w:p>
        </w:tc>
      </w:tr>
      <w:tr>
        <w:tc>
          <w:tcPr>
            <w:tcW w:type="dxa" w:w="2160"/>
          </w:tcPr>
          <w:p>
            <w:r>
              <w:t>DNS resolution failure</w:t>
            </w:r>
          </w:p>
        </w:tc>
        <w:tc>
          <w:tcPr>
            <w:tcW w:type="dxa" w:w="2160"/>
          </w:tcPr>
          <w:p>
            <w:r>
              <w:t>TTL value</w:t>
            </w:r>
          </w:p>
        </w:tc>
        <w:tc>
          <w:tcPr>
            <w:tcW w:type="dxa" w:w="2160"/>
          </w:tcPr>
          <w:p>
            <w:r>
              <w:t>High TTL on stale record</w:t>
            </w:r>
          </w:p>
        </w:tc>
        <w:tc>
          <w:tcPr>
            <w:tcW w:type="dxa" w:w="2160"/>
          </w:tcPr>
          <w:p>
            <w:r>
              <w:t>Lower TTL to 300s; update record</w:t>
            </w:r>
          </w:p>
        </w:tc>
      </w:tr>
      <w:tr>
        <w:tc>
          <w:tcPr>
            <w:tcW w:type="dxa" w:w="2160"/>
          </w:tcPr>
          <w:p>
            <w:r>
              <w:t>Node Not Ready</w:t>
            </w:r>
          </w:p>
        </w:tc>
        <w:tc>
          <w:tcPr>
            <w:tcW w:type="dxa" w:w="2160"/>
          </w:tcPr>
          <w:p>
            <w:r>
              <w:t>kubelet logs</w:t>
            </w:r>
          </w:p>
        </w:tc>
        <w:tc>
          <w:tcPr>
            <w:tcW w:type="dxa" w:w="2160"/>
          </w:tcPr>
          <w:p>
            <w:r>
              <w:t>Disk pressure</w:t>
            </w:r>
          </w:p>
        </w:tc>
        <w:tc>
          <w:tcPr>
            <w:tcW w:type="dxa" w:w="2160"/>
          </w:tcPr>
          <w:p>
            <w:r>
              <w:t>Evict pods; check DiskPressure taint</w:t>
            </w:r>
          </w:p>
        </w:tc>
      </w:tr>
      <w:tr>
        <w:tc>
          <w:tcPr>
            <w:tcW w:type="dxa" w:w="2160"/>
          </w:tcPr>
          <w:p>
            <w:r>
              <w:t>Etcd latency spike</w:t>
            </w:r>
          </w:p>
        </w:tc>
        <w:tc>
          <w:tcPr>
            <w:tcW w:type="dxa" w:w="2160"/>
          </w:tcPr>
          <w:p>
            <w:r>
              <w:t>etcd metrics</w:t>
            </w:r>
          </w:p>
        </w:tc>
        <w:tc>
          <w:tcPr>
            <w:tcW w:type="dxa" w:w="2160"/>
          </w:tcPr>
          <w:p>
            <w:r>
              <w:t>Disk I/O contention</w:t>
            </w:r>
          </w:p>
        </w:tc>
        <w:tc>
          <w:tcPr>
            <w:tcW w:type="dxa" w:w="2160"/>
          </w:tcPr>
          <w:p>
            <w:r>
              <w:t>Check node disk; WAL tuning</w:t>
            </w:r>
          </w:p>
        </w:tc>
      </w:tr>
    </w:tbl>
    <w:p>
      <w:pPr>
        <w:pStyle w:val="Heading1"/>
      </w:pPr>
      <w:r>
        <w:t>3. Escalation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2160"/>
          </w:tcPr>
          <w:p>
            <w:r>
              <w:t>L1 On-Call</w:t>
            </w:r>
          </w:p>
        </w:tc>
        <w:tc>
          <w:tcPr>
            <w:tcW w:type="dxa" w:w="2160"/>
          </w:tcPr>
          <w:p>
            <w:r>
              <w:t>Corey Holloway</w:t>
            </w:r>
          </w:p>
        </w:tc>
        <w:tc>
          <w:tcPr>
            <w:tcW w:type="dxa" w:w="2160"/>
          </w:tcPr>
          <w:p>
            <w:r>
              <w:t>PagerDuty</w:t>
            </w:r>
          </w:p>
        </w:tc>
        <w:tc>
          <w:tcPr>
            <w:tcW w:type="dxa" w:w="2160"/>
          </w:tcPr>
          <w:p>
            <w:r>
              <w:t>First 30 min</w:t>
            </w:r>
          </w:p>
        </w:tc>
      </w:tr>
      <w:tr>
        <w:tc>
          <w:tcPr>
            <w:tcW w:type="dxa" w:w="2160"/>
          </w:tcPr>
          <w:p>
            <w:r>
              <w:t>L2 SRE</w:t>
            </w:r>
          </w:p>
        </w:tc>
        <w:tc>
          <w:tcPr>
            <w:tcW w:type="dxa" w:w="2160"/>
          </w:tcPr>
          <w:p>
            <w:r>
              <w:t>Chen Wei</w:t>
            </w:r>
          </w:p>
        </w:tc>
        <w:tc>
          <w:tcPr>
            <w:tcW w:type="dxa" w:w="2160"/>
          </w:tcPr>
          <w:p>
            <w:r>
              <w:t>Slack and PagerDuty</w:t>
            </w:r>
          </w:p>
        </w:tc>
        <w:tc>
          <w:tcPr>
            <w:tcW w:type="dxa" w:w="2160"/>
          </w:tcPr>
          <w:p>
            <w:r>
              <w:t>P1 &gt;30 min; P2 &gt;90 min</w:t>
            </w:r>
          </w:p>
        </w:tc>
      </w:tr>
      <w:tr>
        <w:tc>
          <w:tcPr>
            <w:tcW w:type="dxa" w:w="2160"/>
          </w:tcPr>
          <w:p>
            <w:r>
              <w:t>L3 VP Engineering</w:t>
            </w:r>
          </w:p>
        </w:tc>
        <w:tc>
          <w:tcPr>
            <w:tcW w:type="dxa" w:w="2160"/>
          </w:tcPr>
          <w:p>
            <w:r>
              <w:t>Raj Mehta</w:t>
            </w:r>
          </w:p>
        </w:tc>
        <w:tc>
          <w:tcPr>
            <w:tcW w:type="dxa" w:w="2160"/>
          </w:tcPr>
          <w:p>
            <w:r>
              <w:t>Slack direct</w:t>
            </w:r>
          </w:p>
        </w:tc>
        <w:tc>
          <w:tcPr>
            <w:tcW w:type="dxa" w:w="2160"/>
          </w:tcPr>
          <w:p>
            <w:r>
              <w:t>P1 &gt;60 min or customer escalation</w:t>
            </w:r>
          </w:p>
        </w:tc>
      </w:tr>
    </w:tbl>
    <w:p>
      <w:pPr>
        <w:pStyle w:val="Heading1"/>
      </w:pPr>
      <w:r>
        <w:t>4. Post-Mortem Template</w:t>
      </w:r>
    </w:p>
    <w:p>
      <w:pPr>
        <w:pStyle w:val="ListBullet"/>
      </w:pPr>
      <w:r>
        <w:t>Timeline: minute-by-minute from alert to resolution.</w:t>
      </w:r>
    </w:p>
    <w:p>
      <w:pPr>
        <w:pStyle w:val="ListBullet"/>
      </w:pPr>
      <w:r>
        <w:t>Root cause: specific testable statement of what failed and why.</w:t>
      </w:r>
    </w:p>
    <w:p>
      <w:pPr>
        <w:pStyle w:val="ListBullet"/>
      </w:pPr>
      <w:r>
        <w:t>Contributing factors: conditions that allowed the failure.</w:t>
      </w:r>
    </w:p>
    <w:p>
      <w:pPr>
        <w:pStyle w:val="ListBullet"/>
      </w:pPr>
      <w:r>
        <w:t>Action items: owner due date done-when statement.</w:t>
      </w:r>
    </w:p>
    <w:p>
      <w:pPr>
        <w:pStyle w:val="ListBullet"/>
      </w:pPr>
      <w:r>
        <w:t>Lessons learned: what the team now knows that it did not before.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