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4F4F"/>
          <w:sz w:val="36"/>
        </w:rPr>
        <w:t>Restaurant Startup Financing  Research Notes</w:t>
      </w:r>
    </w:p>
    <w:p>
      <w:r>
        <w:rPr>
          <w:i/>
          <w:color w:val="555555"/>
          <w:sz w:val="18"/>
        </w:rPr>
        <w:t>Compiled for Rootstock planning. Researched January 2026. For Cynthia Thornton, internal use.</w:t>
      </w:r>
    </w:p>
    <w:p>
      <w:r>
        <w:t>Summary of small business loan options for a first-time restaurant owner, comparing SBA programs against conventional and alternative lending. Figures are indicative as of early 2026 and should be confirmed with a lender.</w:t>
      </w:r>
    </w:p>
    <w:p>
      <w:r>
        <w:rPr>
          <w:b/>
          <w:color w:val="2F4F4F"/>
          <w:sz w:val="32"/>
        </w:rPr>
        <w:t>SBA 7(a) Loan  (primary option)</w:t>
      </w:r>
    </w:p>
    <w:p>
      <w:pPr>
        <w:pStyle w:val="ListBullet"/>
      </w:pPr>
      <w:r>
        <w:t>Use: working capital, equipment, leasehold improvements, and most restaurant startup costs.</w:t>
      </w:r>
    </w:p>
    <w:p>
      <w:pPr>
        <w:pStyle w:val="ListBullet"/>
      </w:pPr>
      <w:r>
        <w:t>Loan amount: up to $5 million; my target is $165,000.</w:t>
      </w:r>
    </w:p>
    <w:p>
      <w:pPr>
        <w:pStyle w:val="ListBullet"/>
      </w:pPr>
      <w:r>
        <w:t>Rate: typically Prime plus 2.25 to 4.75 percent. Indicative all-in around 10.5 to 11 percent in early 2026.</w:t>
      </w:r>
    </w:p>
    <w:p>
      <w:pPr>
        <w:pStyle w:val="ListBullet"/>
      </w:pPr>
      <w:r>
        <w:t>Term: up to 10 years for equipment and working capital; longer for real estate.</w:t>
      </w:r>
    </w:p>
    <w:p>
      <w:pPr>
        <w:pStyle w:val="ListBullet"/>
      </w:pPr>
      <w:r>
        <w:t>Down payment / equity injection: lenders generally want 10 to 20 percent owner equity. My $50,000 covers this against a $465,000 project.</w:t>
      </w:r>
    </w:p>
    <w:p>
      <w:pPr>
        <w:pStyle w:val="ListBullet"/>
      </w:pPr>
      <w:r>
        <w:t>Personal guarantee required for any owner with 20 percent or more.</w:t>
      </w:r>
    </w:p>
    <w:p>
      <w:pPr>
        <w:pStyle w:val="ListBullet"/>
      </w:pPr>
      <w:r>
        <w:t>Timeline: 60 to 90 days from application to funding, longer for first-timers.</w:t>
      </w:r>
    </w:p>
    <w:p>
      <w:r>
        <w:rPr>
          <w:b/>
          <w:color w:val="2F4F4F"/>
          <w:sz w:val="32"/>
        </w:rPr>
        <w:t>SBA Microloan</w:t>
      </w:r>
    </w:p>
    <w:p>
      <w:pPr>
        <w:pStyle w:val="ListBullet"/>
      </w:pPr>
      <w:r>
        <w:t>Use: smaller needs, up to $50,000. Too small to fund Rootstock alone but useful as a bridge.</w:t>
      </w:r>
    </w:p>
    <w:p>
      <w:pPr>
        <w:pStyle w:val="ListBullet"/>
      </w:pPr>
      <w:r>
        <w:t>Rate: roughly 8 to 13 percent through nonprofit intermediaries.</w:t>
      </w:r>
    </w:p>
    <w:p>
      <w:pPr>
        <w:pStyle w:val="ListBullet"/>
      </w:pPr>
      <w:r>
        <w:t>Term: up to 7 years.</w:t>
      </w:r>
    </w:p>
    <w:p>
      <w:pPr>
        <w:pStyle w:val="ListBullet"/>
      </w:pPr>
      <w:r>
        <w:t>Easier to qualify for with limited credit history.</w:t>
      </w:r>
    </w:p>
    <w:p>
      <w:r>
        <w:rPr>
          <w:b/>
          <w:color w:val="2F4F4F"/>
          <w:sz w:val="32"/>
        </w:rPr>
        <w:t>Conventional bank loan</w:t>
      </w:r>
    </w:p>
    <w:p>
      <w:r>
        <w:t>Harder to get for a first-time restaurateur with no real estate collateral. Banks often decline pure restaurant startups or require heavy collateral. Likely a fallback only if paired with investor equity.</w:t>
      </w:r>
    </w:p>
    <w:p>
      <w:r>
        <w:rPr>
          <w:b/>
          <w:color w:val="2F4F4F"/>
          <w:sz w:val="32"/>
        </w:rPr>
        <w:t>What lenders will want from me</w:t>
      </w:r>
    </w:p>
    <w:p>
      <w:pPr>
        <w:pStyle w:val="ListBullet"/>
      </w:pPr>
      <w:r>
        <w:t>Completed business plan and 3-year financial projections (in progress).</w:t>
      </w:r>
    </w:p>
    <w:p>
      <w:pPr>
        <w:pStyle w:val="ListBullet"/>
      </w:pPr>
      <w:r>
        <w:t>Personal financial statement and 2 years of tax returns (2024 and 2025 filed).</w:t>
      </w:r>
    </w:p>
    <w:p>
      <w:pPr>
        <w:pStyle w:val="ListBullet"/>
      </w:pPr>
      <w:r>
        <w:t>Owner equity injection documented (Rootstock fund at Harbor Savings).</w:t>
      </w:r>
    </w:p>
    <w:p>
      <w:pPr>
        <w:pStyle w:val="ListBullet"/>
      </w:pPr>
      <w:r>
        <w:t>Signed lease or letter of intent for the space.</w:t>
      </w:r>
    </w:p>
    <w:p>
      <w:pPr>
        <w:pStyle w:val="ListBullet"/>
      </w:pPr>
      <w:r>
        <w:t>Credit score and personal guarantee.</w:t>
      </w:r>
    </w:p>
    <w:p>
      <w:r>
        <w:rPr>
          <w:b/>
          <w:color w:val="2F4F4F"/>
          <w:sz w:val="32"/>
        </w:rPr>
        <w:t>Next steps</w:t>
      </w:r>
    </w:p>
    <w:p>
      <w:r>
        <w:t>1. Finish financial projections before the November 2, 2026 review. 2. Get pre-qualified with an SBA-preferred lender once a lease is identified. 3. Keep building owner equity toward the $50,000 target. 4. Use investor equity (Castellano conversation) to reduce loan size and improve approval odds.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Cynthia Thornton</dc:creator>
  <cp:lastModifiedBy>Cynthia Thornton</cp:lastModifiedBy>
  <dcterms:created xsi:type="dcterms:W3CDTF">2026-01-15T10:00:00Z</dcterms:created>
  <dcterms:modified xsi:type="dcterms:W3CDTF">2026-10-14T12:00:00Z</dcterms:modified>
</cp:coreProperties>
</file>