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Billing-Service Integration - Refactor Design Review</w:t>
      </w:r>
    </w:p>
    <w:p>
      <w:r>
        <w:t>Reviewing the architecture refactoring for Ridgeline cloud-provisioning platform billing-service integration.</w:t>
      </w:r>
    </w:p>
    <w:p>
      <w:r>
        <w:t>Document Date: October 13, 2026</w:t>
      </w:r>
    </w:p>
    <w:p>
      <w:r>
        <w:t>Owner: Dave Kowalczyk. Contributor: Jason Murray.</w:t>
      </w:r>
    </w:p>
    <w:p>
      <w:r>
        <w:t>Key changes: Migrating downstream integration from synchronized HTTP calls to an asynchronous queue model. Use PostgreSQL tables as transactional outbox to prevent data loss during network partition.</w:t>
      </w:r>
    </w:p>
    <w:p>
      <w:r>
        <w:t>Priya's Feedback: Ensure the outbox worker polling interval is configured to prevent table bloat. Recommended setting max pool connections to 25.</w:t>
      </w:r>
    </w:p>
    <w:p>
      <w:r>
        <w:t>Dave's Feedback: Need to check downstream billing API throttling rules. The billing provider imposes a 100 requests per second rate limit.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