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Crestline — Q4 Benchmarking Working Notes</w:t>
      </w:r>
    </w:p>
    <w:p>
      <w:r>
        <w:rPr>
          <w:i/>
          <w:color w:val="707070"/>
        </w:rPr>
        <w:t>WORK DOCUMENT. Day-job deliverable. Not for the practice.</w:t>
      </w:r>
    </w:p>
    <w:p>
      <w:r>
        <w:rPr>
          <w:b w:val="0"/>
          <w:i/>
        </w:rPr>
        <w:t>These are notes for the Q4 benchmarking deliverable at Crestline, due to the client mid-November. This belongs to work. It is here by mistake and must be kept entirely separate from anything I build for myself.</w:t>
      </w:r>
    </w:p>
    <w:p>
      <w:pPr>
        <w:pStyle w:val="Heading1"/>
      </w:pPr>
      <w:r>
        <w:t>Scope</w:t>
      </w:r>
    </w:p>
    <w:p>
      <w:pPr>
        <w:pStyle w:val="ListBullet"/>
      </w:pPr>
      <w:r>
        <w:t>Benchmark Buckeye Health Systems campaign performance against sector medians.</w:t>
      </w:r>
    </w:p>
    <w:p>
      <w:pPr>
        <w:pStyle w:val="ListBullet"/>
      </w:pPr>
      <w:r>
        <w:t>Pull cross-client analytics from the firm's client GA properties (on the work laptop).</w:t>
      </w:r>
    </w:p>
    <w:p>
      <w:pPr>
        <w:pStyle w:val="ListBullet"/>
      </w:pPr>
      <w:r>
        <w:t>Deliverable is a client-facing deck, reviewed by Tom before it goes out.</w:t>
      </w:r>
    </w:p>
    <w:p>
      <w:pPr>
        <w:pStyle w:val="Heading1"/>
      </w:pPr>
      <w:r>
        <w:t>Reminder</w:t>
      </w:r>
    </w:p>
    <w:p>
      <w:r>
        <w:rPr>
          <w:b/>
          <w:i w:val="0"/>
        </w:rPr>
        <w:t>None of the firm's clients, data, or relationships are available to my own practice. Different world. Keep the wall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