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A1A1A"/>
          <w:sz w:val="36"/>
        </w:rPr>
        <w:t>2026 Tax Organizer</w:t>
      </w:r>
    </w:p>
    <w:p>
      <w:pPr>
        <w:spacing w:after="120"/>
      </w:pPr>
      <w:r>
        <w:t>Prepared for Dana Elena Serrano by Vitals. Preparer ready draft. Not filed. Not shared outside Dana and any preparer Dana explicitly engages. All figures reconciled through November 30, 2026. December 2026 figures marked as estimates pending year end close.</w:t>
      </w:r>
    </w:p>
    <w:p>
      <w:pPr>
        <w:spacing w:before="200" w:after="80"/>
      </w:pPr>
      <w:r>
        <w:rPr>
          <w:b/>
          <w:color w:val="333366"/>
          <w:sz w:val="26"/>
        </w:rPr>
        <w:t>Taxpayer identification</w:t>
      </w:r>
    </w:p>
    <w:tbl>
      <w:tblPr>
        <w:tblStyle w:val="LightGrid-Accent1"/>
        <w:tblW w:type="auto" w:w="0"/>
        <w:tblLook w:firstColumn="1" w:firstRow="1" w:lastColumn="0" w:lastRow="0" w:noHBand="0" w:noVBand="1" w:val="04A0"/>
      </w:tblPr>
      <w:tblGrid>
        <w:gridCol w:w="4824"/>
        <w:gridCol w:w="4824"/>
      </w:tblGrid>
      <w:tr>
        <w:tc>
          <w:tcPr>
            <w:tcW w:type="dxa" w:w="3456"/>
          </w:tcPr>
          <w:p>
            <w:r/>
            <w:r>
              <w:rPr>
                <w:b/>
                <w:sz w:val="20"/>
              </w:rPr>
              <w:t>Field</w:t>
            </w:r>
          </w:p>
        </w:tc>
        <w:tc>
          <w:tcPr>
            <w:tcW w:type="dxa" w:w="5184"/>
          </w:tcPr>
          <w:p>
            <w:r/>
            <w:r>
              <w:rPr>
                <w:b/>
                <w:sz w:val="20"/>
              </w:rPr>
              <w:t>Value</w:t>
            </w:r>
          </w:p>
        </w:tc>
      </w:tr>
      <w:tr>
        <w:tc>
          <w:tcPr>
            <w:tcW w:type="dxa" w:w="3456"/>
          </w:tcPr>
          <w:p>
            <w:r>
              <w:t>Full legal name</w:t>
            </w:r>
          </w:p>
        </w:tc>
        <w:tc>
          <w:tcPr>
            <w:tcW w:type="dxa" w:w="5184"/>
          </w:tcPr>
          <w:p>
            <w:r>
              <w:t>Dana Elena Serrano</w:t>
            </w:r>
          </w:p>
        </w:tc>
      </w:tr>
      <w:tr>
        <w:tc>
          <w:tcPr>
            <w:tcW w:type="dxa" w:w="3456"/>
          </w:tcPr>
          <w:p>
            <w:r>
              <w:t>Date of birth</w:t>
            </w:r>
          </w:p>
        </w:tc>
        <w:tc>
          <w:tcPr>
            <w:tcW w:type="dxa" w:w="5184"/>
          </w:tcPr>
          <w:p>
            <w:r>
              <w:t>March 12, 2000</w:t>
            </w:r>
          </w:p>
        </w:tc>
      </w:tr>
      <w:tr>
        <w:tc>
          <w:tcPr>
            <w:tcW w:type="dxa" w:w="3456"/>
          </w:tcPr>
          <w:p>
            <w:r>
              <w:t>Filing status</w:t>
            </w:r>
          </w:p>
        </w:tc>
        <w:tc>
          <w:tcPr>
            <w:tcW w:type="dxa" w:w="5184"/>
          </w:tcPr>
          <w:p>
            <w:r>
              <w:t>Single</w:t>
            </w:r>
          </w:p>
        </w:tc>
      </w:tr>
      <w:tr>
        <w:tc>
          <w:tcPr>
            <w:tcW w:type="dxa" w:w="3456"/>
          </w:tcPr>
          <w:p>
            <w:r>
              <w:t>State of residence at year end</w:t>
            </w:r>
          </w:p>
        </w:tc>
        <w:tc>
          <w:tcPr>
            <w:tcW w:type="dxa" w:w="5184"/>
          </w:tcPr>
          <w:p>
            <w:r>
              <w:t>Colorado</w:t>
            </w:r>
          </w:p>
        </w:tc>
      </w:tr>
      <w:tr>
        <w:tc>
          <w:tcPr>
            <w:tcW w:type="dxa" w:w="3456"/>
          </w:tcPr>
          <w:p>
            <w:r>
              <w:t>Prior state of residence in tax year</w:t>
            </w:r>
          </w:p>
        </w:tc>
        <w:tc>
          <w:tcPr>
            <w:tcW w:type="dxa" w:w="5184"/>
          </w:tcPr>
          <w:p>
            <w:r>
              <w:t>Texas</w:t>
            </w:r>
          </w:p>
        </w:tc>
      </w:tr>
      <w:tr>
        <w:tc>
          <w:tcPr>
            <w:tcW w:type="dxa" w:w="3456"/>
          </w:tcPr>
          <w:p>
            <w:r>
              <w:t>Effective date of residency change</w:t>
            </w:r>
          </w:p>
        </w:tc>
        <w:tc>
          <w:tcPr>
            <w:tcW w:type="dxa" w:w="5184"/>
          </w:tcPr>
          <w:p>
            <w:r>
              <w:t>July 1, 2026</w:t>
            </w:r>
          </w:p>
        </w:tc>
      </w:tr>
      <w:tr>
        <w:tc>
          <w:tcPr>
            <w:tcW w:type="dxa" w:w="3456"/>
          </w:tcPr>
          <w:p>
            <w:r>
              <w:t>Occupation</w:t>
            </w:r>
          </w:p>
        </w:tc>
        <w:tc>
          <w:tcPr>
            <w:tcW w:type="dxa" w:w="5184"/>
          </w:tcPr>
          <w:p>
            <w:r>
              <w:t>Physician, resident in training</w:t>
            </w:r>
          </w:p>
        </w:tc>
      </w:tr>
      <w:tr>
        <w:tc>
          <w:tcPr>
            <w:tcW w:type="dxa" w:w="3456"/>
          </w:tcPr>
          <w:p>
            <w:r>
              <w:t>Employer</w:t>
            </w:r>
          </w:p>
        </w:tc>
        <w:tc>
          <w:tcPr>
            <w:tcW w:type="dxa" w:w="5184"/>
          </w:tcPr>
          <w:p>
            <w:r>
              <w:t>Stonebridge Healthcare, Denver, Colorado</w:t>
            </w:r>
          </w:p>
        </w:tc>
      </w:tr>
    </w:tbl>
    <w:p>
      <w:pPr>
        <w:spacing w:before="200" w:after="80"/>
      </w:pPr>
      <w:r>
        <w:rPr>
          <w:b/>
          <w:color w:val="333366"/>
          <w:sz w:val="26"/>
        </w:rPr>
        <w:t>Part year residency section</w:t>
      </w:r>
    </w:p>
    <w:p>
      <w:pPr>
        <w:spacing w:after="120"/>
      </w:pPr>
      <w:r>
        <w:t>Dana was a Texas resident from January 1, 2026 through June 30, 2026 while finishing her MD at Oakridge University. Dana became a Colorado resident on July 1, 2026 when residency at Stonebridge Healthcare began and she moved to a 2 BR apartment in Capitol Hill, Denver. Colorado sourced income begins on July 1, 2026. Texas has no state income tax so no Texas allocation is required.</w:t>
      </w:r>
    </w:p>
    <w:p>
      <w:pPr>
        <w:spacing w:before="200" w:after="80"/>
      </w:pPr>
      <w:r>
        <w:rPr>
          <w:b/>
          <w:color w:val="333366"/>
          <w:sz w:val="26"/>
        </w:rPr>
        <w:t>Income sources</w:t>
      </w:r>
    </w:p>
    <w:tbl>
      <w:tblPr>
        <w:tblStyle w:val="LightGrid-Accent1"/>
        <w:tblW w:type="auto" w:w="0"/>
        <w:tblLook w:firstColumn="1" w:firstRow="1" w:lastColumn="0" w:lastRow="0" w:noHBand="0" w:noVBand="1" w:val="04A0"/>
      </w:tblPr>
      <w:tblGrid>
        <w:gridCol w:w="2412"/>
        <w:gridCol w:w="2412"/>
        <w:gridCol w:w="2412"/>
        <w:gridCol w:w="2412"/>
      </w:tblGrid>
      <w:tr>
        <w:tc>
          <w:tcPr>
            <w:tcW w:type="dxa" w:w="2736"/>
          </w:tcPr>
          <w:p>
            <w:r/>
            <w:r>
              <w:rPr>
                <w:b/>
                <w:sz w:val="20"/>
              </w:rPr>
              <w:t>Source</w:t>
            </w:r>
          </w:p>
        </w:tc>
        <w:tc>
          <w:tcPr>
            <w:tcW w:type="dxa" w:w="2304"/>
          </w:tcPr>
          <w:p>
            <w:r/>
            <w:r>
              <w:rPr>
                <w:b/>
                <w:sz w:val="20"/>
              </w:rPr>
              <w:t>Type</w:t>
            </w:r>
          </w:p>
        </w:tc>
        <w:tc>
          <w:tcPr>
            <w:tcW w:type="dxa" w:w="1872"/>
          </w:tcPr>
          <w:p>
            <w:r/>
            <w:r>
              <w:rPr>
                <w:b/>
                <w:sz w:val="20"/>
              </w:rPr>
              <w:t>Period</w:t>
            </w:r>
          </w:p>
        </w:tc>
        <w:tc>
          <w:tcPr>
            <w:tcW w:type="dxa" w:w="3168"/>
          </w:tcPr>
          <w:p>
            <w:r/>
            <w:r>
              <w:rPr>
                <w:b/>
                <w:sz w:val="20"/>
              </w:rPr>
              <w:t>Notes</w:t>
            </w:r>
          </w:p>
        </w:tc>
      </w:tr>
      <w:tr>
        <w:tc>
          <w:tcPr>
            <w:tcW w:type="dxa" w:w="2736"/>
          </w:tcPr>
          <w:p>
            <w:r>
              <w:t>Stonebridge Healthcare W-2</w:t>
            </w:r>
          </w:p>
        </w:tc>
        <w:tc>
          <w:tcPr>
            <w:tcW w:type="dxa" w:w="2304"/>
          </w:tcPr>
          <w:p>
            <w:r>
              <w:t>Salary</w:t>
            </w:r>
          </w:p>
        </w:tc>
        <w:tc>
          <w:tcPr>
            <w:tcW w:type="dxa" w:w="1872"/>
          </w:tcPr>
          <w:p>
            <w:r>
              <w:t>Jul 1 - Dec 31, 2026</w:t>
            </w:r>
          </w:p>
        </w:tc>
        <w:tc>
          <w:tcPr>
            <w:tcW w:type="dxa" w:w="3168"/>
          </w:tcPr>
          <w:p>
            <w:r>
              <w:t>PGY-1 into PGY-2 transition, full W-2 for the second half</w:t>
            </w:r>
          </w:p>
        </w:tc>
      </w:tr>
      <w:tr>
        <w:tc>
          <w:tcPr>
            <w:tcW w:type="dxa" w:w="2736"/>
          </w:tcPr>
          <w:p>
            <w:r>
              <w:t>Any moonlighting shifts</w:t>
            </w:r>
          </w:p>
        </w:tc>
        <w:tc>
          <w:tcPr>
            <w:tcW w:type="dxa" w:w="2304"/>
          </w:tcPr>
          <w:p>
            <w:r>
              <w:t>1099 or W-2 through Gusto</w:t>
            </w:r>
          </w:p>
        </w:tc>
        <w:tc>
          <w:tcPr>
            <w:tcW w:type="dxa" w:w="1872"/>
          </w:tcPr>
          <w:p>
            <w:r>
              <w:t>As applicable</w:t>
            </w:r>
          </w:p>
        </w:tc>
        <w:tc>
          <w:tcPr>
            <w:tcW w:type="dxa" w:w="3168"/>
          </w:tcPr>
          <w:p>
            <w:r>
              <w:t>Confirm whether any picked up during ambulatory blocks</w:t>
            </w:r>
          </w:p>
        </w:tc>
      </w:tr>
      <w:tr>
        <w:tc>
          <w:tcPr>
            <w:tcW w:type="dxa" w:w="2736"/>
          </w:tcPr>
          <w:p>
            <w:r>
              <w:t>Interest income</w:t>
            </w:r>
          </w:p>
        </w:tc>
        <w:tc>
          <w:tcPr>
            <w:tcW w:type="dxa" w:w="2304"/>
          </w:tcPr>
          <w:p>
            <w:r>
              <w:t>Bank interest</w:t>
            </w:r>
          </w:p>
        </w:tc>
        <w:tc>
          <w:tcPr>
            <w:tcW w:type="dxa" w:w="1872"/>
          </w:tcPr>
          <w:p>
            <w:r>
              <w:t>Full year</w:t>
            </w:r>
          </w:p>
        </w:tc>
        <w:tc>
          <w:tcPr>
            <w:tcW w:type="dxa" w:w="3168"/>
          </w:tcPr>
          <w:p>
            <w:r>
              <w:t>Brightpath Financial 1099-INT</w:t>
            </w:r>
          </w:p>
        </w:tc>
      </w:tr>
      <w:tr>
        <w:tc>
          <w:tcPr>
            <w:tcW w:type="dxa" w:w="2736"/>
          </w:tcPr>
          <w:p>
            <w:r>
              <w:t>Crypto gifts from Val</w:t>
            </w:r>
          </w:p>
        </w:tc>
        <w:tc>
          <w:tcPr>
            <w:tcW w:type="dxa" w:w="2304"/>
          </w:tcPr>
          <w:p>
            <w:r>
              <w:t>Non taxable at receipt</w:t>
            </w:r>
          </w:p>
        </w:tc>
        <w:tc>
          <w:tcPr>
            <w:tcW w:type="dxa" w:w="1872"/>
          </w:tcPr>
          <w:p>
            <w:r>
              <w:t>Various dates</w:t>
            </w:r>
          </w:p>
        </w:tc>
        <w:tc>
          <w:tcPr>
            <w:tcW w:type="dxa" w:w="3168"/>
          </w:tcPr>
          <w:p>
            <w:r>
              <w:t>Track basis only, no sale in 2026</w:t>
            </w:r>
          </w:p>
        </w:tc>
      </w:tr>
      <w:tr>
        <w:tc>
          <w:tcPr>
            <w:tcW w:type="dxa" w:w="2736"/>
          </w:tcPr>
          <w:p>
            <w:r>
              <w:t>Any scholarship stipend remainder from Oakridge</w:t>
            </w:r>
          </w:p>
        </w:tc>
        <w:tc>
          <w:tcPr>
            <w:tcW w:type="dxa" w:w="2304"/>
          </w:tcPr>
          <w:p>
            <w:r>
              <w:t>Educational assistance</w:t>
            </w:r>
          </w:p>
        </w:tc>
        <w:tc>
          <w:tcPr>
            <w:tcW w:type="dxa" w:w="1872"/>
          </w:tcPr>
          <w:p>
            <w:r>
              <w:t>Jan 1 - Jun 30, 2026</w:t>
            </w:r>
          </w:p>
        </w:tc>
        <w:tc>
          <w:tcPr>
            <w:tcW w:type="dxa" w:w="3168"/>
          </w:tcPr>
          <w:p>
            <w:r>
              <w:t>Confirm whether any 1098-T or stipend received</w:t>
            </w:r>
          </w:p>
        </w:tc>
      </w:tr>
    </w:tbl>
    <w:p>
      <w:pPr>
        <w:spacing w:before="200" w:after="80"/>
      </w:pPr>
      <w:r>
        <w:rPr>
          <w:b/>
          <w:color w:val="333366"/>
          <w:sz w:val="26"/>
        </w:rPr>
        <w:t>Adjustments and deductions</w:t>
      </w:r>
    </w:p>
    <w:p>
      <w:pPr>
        <w:spacing w:after="120"/>
      </w:pPr>
      <w:r>
        <w:t>Student loan interest deduction. Interest accrued on the 218,000 principal is roughly 600 per month while in grace, and the first scheduled payment cleared on November 15, 2026 at 347.82. The deduction is capped at 2,500 for the year and phases out at higher incomes. Dana's expected AGI is below the phase out ceiling. Full deduction of the paid interest is expected. Coordinate with the servicer to confirm the 1098-E figure once issued.</w:t>
      </w:r>
    </w:p>
    <w:p>
      <w:pPr>
        <w:spacing w:after="120"/>
      </w:pPr>
      <w:r>
        <w:t>State and local taxes paid. Colorado income tax withheld from Stonebridge W-2, plus any Colorado estimated tax paid, plus RTD pass line if characterized as employer sponsored transit benefit rather than post tax. Confirm with Stonebridge HR before the return is finalized.</w:t>
      </w:r>
    </w:p>
    <w:p>
      <w:pPr>
        <w:spacing w:after="120"/>
      </w:pPr>
      <w:r>
        <w:t>Moving expenses. The July 2025 relocation from San Antonio to Denver falls outside the 2026 tax year and cannot be deducted here. Any 2026 in year moving cost related to the July 1, 2026 residency change would need to be reviewed against current federal and Colorado rules by the preparer.</w:t>
      </w:r>
    </w:p>
    <w:p>
      <w:pPr>
        <w:spacing w:after="120"/>
      </w:pPr>
      <w:r>
        <w:t>Charitable contributions. None significant expected. If any 2026 giving is later identified from the reconciliation, add here.</w:t>
      </w:r>
    </w:p>
    <w:p>
      <w:pPr>
        <w:spacing w:before="200" w:after="80"/>
      </w:pPr>
      <w:r>
        <w:rPr>
          <w:b/>
          <w:color w:val="333366"/>
          <w:sz w:val="26"/>
        </w:rPr>
        <w:t>Documents to gather before filing</w:t>
      </w:r>
    </w:p>
    <w:tbl>
      <w:tblPr>
        <w:tblStyle w:val="LightGrid-Accent1"/>
        <w:tblW w:type="auto" w:w="0"/>
        <w:tblLook w:firstColumn="1" w:firstRow="1" w:lastColumn="0" w:lastRow="0" w:noHBand="0" w:noVBand="1" w:val="04A0"/>
      </w:tblPr>
      <w:tblGrid>
        <w:gridCol w:w="3216"/>
        <w:gridCol w:w="3216"/>
        <w:gridCol w:w="3216"/>
      </w:tblGrid>
      <w:tr>
        <w:tc>
          <w:tcPr>
            <w:tcW w:type="dxa" w:w="4320"/>
          </w:tcPr>
          <w:p>
            <w:r/>
            <w:r>
              <w:rPr>
                <w:b/>
                <w:sz w:val="20"/>
              </w:rPr>
              <w:t>Document</w:t>
            </w:r>
          </w:p>
        </w:tc>
        <w:tc>
          <w:tcPr>
            <w:tcW w:type="dxa" w:w="2592"/>
          </w:tcPr>
          <w:p>
            <w:r/>
            <w:r>
              <w:rPr>
                <w:b/>
                <w:sz w:val="20"/>
              </w:rPr>
              <w:t>Source</w:t>
            </w:r>
          </w:p>
        </w:tc>
        <w:tc>
          <w:tcPr>
            <w:tcW w:type="dxa" w:w="3168"/>
          </w:tcPr>
          <w:p>
            <w:r/>
            <w:r>
              <w:rPr>
                <w:b/>
                <w:sz w:val="20"/>
              </w:rPr>
              <w:t>Status</w:t>
            </w:r>
          </w:p>
        </w:tc>
      </w:tr>
      <w:tr>
        <w:tc>
          <w:tcPr>
            <w:tcW w:type="dxa" w:w="4320"/>
          </w:tcPr>
          <w:p>
            <w:r>
              <w:t>W-2 from Stonebridge Healthcare</w:t>
            </w:r>
          </w:p>
        </w:tc>
        <w:tc>
          <w:tcPr>
            <w:tcW w:type="dxa" w:w="2592"/>
          </w:tcPr>
          <w:p>
            <w:r>
              <w:t>Employer</w:t>
            </w:r>
          </w:p>
        </w:tc>
        <w:tc>
          <w:tcPr>
            <w:tcW w:type="dxa" w:w="3168"/>
          </w:tcPr>
          <w:p>
            <w:r>
              <w:t>Expected late January 2027</w:t>
            </w:r>
          </w:p>
        </w:tc>
      </w:tr>
      <w:tr>
        <w:tc>
          <w:tcPr>
            <w:tcW w:type="dxa" w:w="4320"/>
          </w:tcPr>
          <w:p>
            <w:r>
              <w:t>W-2 from moonlighting employers if any</w:t>
            </w:r>
          </w:p>
        </w:tc>
        <w:tc>
          <w:tcPr>
            <w:tcW w:type="dxa" w:w="2592"/>
          </w:tcPr>
          <w:p>
            <w:r>
              <w:t>Gusto or employer</w:t>
            </w:r>
          </w:p>
        </w:tc>
        <w:tc>
          <w:tcPr>
            <w:tcW w:type="dxa" w:w="3168"/>
          </w:tcPr>
          <w:p>
            <w:r>
              <w:t>Expected late January 2027, confirm none</w:t>
            </w:r>
          </w:p>
        </w:tc>
      </w:tr>
      <w:tr>
        <w:tc>
          <w:tcPr>
            <w:tcW w:type="dxa" w:w="4320"/>
          </w:tcPr>
          <w:p>
            <w:r>
              <w:t>1099-INT from Brightpath Financial</w:t>
            </w:r>
          </w:p>
        </w:tc>
        <w:tc>
          <w:tcPr>
            <w:tcW w:type="dxa" w:w="2592"/>
          </w:tcPr>
          <w:p>
            <w:r>
              <w:t>Bank</w:t>
            </w:r>
          </w:p>
        </w:tc>
        <w:tc>
          <w:tcPr>
            <w:tcW w:type="dxa" w:w="3168"/>
          </w:tcPr>
          <w:p>
            <w:r>
              <w:t>Expected late January 2027</w:t>
            </w:r>
          </w:p>
        </w:tc>
      </w:tr>
      <w:tr>
        <w:tc>
          <w:tcPr>
            <w:tcW w:type="dxa" w:w="4320"/>
          </w:tcPr>
          <w:p>
            <w:r>
              <w:t>1098-E from student loan servicer</w:t>
            </w:r>
          </w:p>
        </w:tc>
        <w:tc>
          <w:tcPr>
            <w:tcW w:type="dxa" w:w="2592"/>
          </w:tcPr>
          <w:p>
            <w:r>
              <w:t>Servicer</w:t>
            </w:r>
          </w:p>
        </w:tc>
        <w:tc>
          <w:tcPr>
            <w:tcW w:type="dxa" w:w="3168"/>
          </w:tcPr>
          <w:p>
            <w:r>
              <w:t>Expected late January 2027 or early February 2027</w:t>
            </w:r>
          </w:p>
        </w:tc>
      </w:tr>
      <w:tr>
        <w:tc>
          <w:tcPr>
            <w:tcW w:type="dxa" w:w="4320"/>
          </w:tcPr>
          <w:p>
            <w:r>
              <w:t>1098-T from Oakridge University if applicable</w:t>
            </w:r>
          </w:p>
        </w:tc>
        <w:tc>
          <w:tcPr>
            <w:tcW w:type="dxa" w:w="2592"/>
          </w:tcPr>
          <w:p>
            <w:r>
              <w:t>Prior school</w:t>
            </w:r>
          </w:p>
        </w:tc>
        <w:tc>
          <w:tcPr>
            <w:tcW w:type="dxa" w:w="3168"/>
          </w:tcPr>
          <w:p>
            <w:r>
              <w:t>Confirm whether any partial year 2026 issued</w:t>
            </w:r>
          </w:p>
        </w:tc>
      </w:tr>
      <w:tr>
        <w:tc>
          <w:tcPr>
            <w:tcW w:type="dxa" w:w="4320"/>
          </w:tcPr>
          <w:p>
            <w:r>
              <w:t>Colorado state withholding summary</w:t>
            </w:r>
          </w:p>
        </w:tc>
        <w:tc>
          <w:tcPr>
            <w:tcW w:type="dxa" w:w="2592"/>
          </w:tcPr>
          <w:p>
            <w:r>
              <w:t>Employer or portal</w:t>
            </w:r>
          </w:p>
        </w:tc>
        <w:tc>
          <w:tcPr>
            <w:tcW w:type="dxa" w:w="3168"/>
          </w:tcPr>
          <w:p>
            <w:r>
              <w:t>Confirm before filing</w:t>
            </w:r>
          </w:p>
        </w:tc>
      </w:tr>
      <w:tr>
        <w:tc>
          <w:tcPr>
            <w:tcW w:type="dxa" w:w="4320"/>
          </w:tcPr>
          <w:p>
            <w:r>
              <w:t>Health coverage documentation</w:t>
            </w:r>
          </w:p>
        </w:tc>
        <w:tc>
          <w:tcPr>
            <w:tcW w:type="dxa" w:w="2592"/>
          </w:tcPr>
          <w:p>
            <w:r>
              <w:t>Employer or insurer</w:t>
            </w:r>
          </w:p>
        </w:tc>
        <w:tc>
          <w:tcPr>
            <w:tcW w:type="dxa" w:w="3168"/>
          </w:tcPr>
          <w:p>
            <w:r>
              <w:t>1095 form as applicable</w:t>
            </w:r>
          </w:p>
        </w:tc>
      </w:tr>
      <w:tr>
        <w:tc>
          <w:tcPr>
            <w:tcW w:type="dxa" w:w="4320"/>
          </w:tcPr>
          <w:p>
            <w:r>
              <w:t>Prior year return, 2025</w:t>
            </w:r>
          </w:p>
        </w:tc>
        <w:tc>
          <w:tcPr>
            <w:tcW w:type="dxa" w:w="2592"/>
          </w:tcPr>
          <w:p>
            <w:r>
              <w:t>Prior preparer or software</w:t>
            </w:r>
          </w:p>
        </w:tc>
        <w:tc>
          <w:tcPr>
            <w:tcW w:type="dxa" w:w="3168"/>
          </w:tcPr>
          <w:p>
            <w:r>
              <w:t>Needed for reference and carryovers</w:t>
            </w:r>
          </w:p>
        </w:tc>
      </w:tr>
    </w:tbl>
    <w:p>
      <w:pPr>
        <w:spacing w:before="200" w:after="80"/>
      </w:pPr>
      <w:r>
        <w:rPr>
          <w:b/>
          <w:color w:val="333366"/>
          <w:sz w:val="26"/>
        </w:rPr>
        <w:t>Papa routed items, family side, not Dana's return</w:t>
      </w:r>
    </w:p>
    <w:p>
      <w:pPr>
        <w:spacing w:after="120"/>
      </w:pPr>
      <w:r>
        <w:t>Papa has asked Dana to look at two family side items that flow through his Xero bookkeeping for his structural engineering side work. These are not Dana's personal return lines. Captured here so nothing gets confused into Dana's return.</w:t>
      </w:r>
    </w:p>
    <w:tbl>
      <w:tblPr>
        <w:tblStyle w:val="LightGrid-Accent1"/>
        <w:tblW w:type="auto" w:w="0"/>
        <w:tblLook w:firstColumn="1" w:firstRow="1" w:lastColumn="0" w:lastRow="0" w:noHBand="0" w:noVBand="1" w:val="04A0"/>
      </w:tblPr>
      <w:tblGrid>
        <w:gridCol w:w="3216"/>
        <w:gridCol w:w="3216"/>
        <w:gridCol w:w="3216"/>
      </w:tblGrid>
      <w:tr>
        <w:tc>
          <w:tcPr>
            <w:tcW w:type="dxa" w:w="3744"/>
          </w:tcPr>
          <w:p>
            <w:r/>
            <w:r>
              <w:rPr>
                <w:b/>
                <w:sz w:val="20"/>
              </w:rPr>
              <w:t>Item</w:t>
            </w:r>
          </w:p>
        </w:tc>
        <w:tc>
          <w:tcPr>
            <w:tcW w:type="dxa" w:w="2736"/>
          </w:tcPr>
          <w:p>
            <w:r/>
            <w:r>
              <w:rPr>
                <w:b/>
                <w:sz w:val="20"/>
              </w:rPr>
              <w:t>Papa's file</w:t>
            </w:r>
          </w:p>
        </w:tc>
        <w:tc>
          <w:tcPr>
            <w:tcW w:type="dxa" w:w="3600"/>
          </w:tcPr>
          <w:p>
            <w:r/>
            <w:r>
              <w:rPr>
                <w:b/>
                <w:sz w:val="20"/>
              </w:rPr>
              <w:t>Note</w:t>
            </w:r>
          </w:p>
        </w:tc>
      </w:tr>
      <w:tr>
        <w:tc>
          <w:tcPr>
            <w:tcW w:type="dxa" w:w="3744"/>
          </w:tcPr>
          <w:p>
            <w:r>
              <w:t>Side project invoice reconciliation, Q3 2026</w:t>
            </w:r>
          </w:p>
        </w:tc>
        <w:tc>
          <w:tcPr>
            <w:tcW w:type="dxa" w:w="2736"/>
          </w:tcPr>
          <w:p>
            <w:r>
              <w:t>Xero client SR-2026-Q3</w:t>
            </w:r>
          </w:p>
        </w:tc>
        <w:tc>
          <w:tcPr>
            <w:tcW w:type="dxa" w:w="3600"/>
          </w:tcPr>
          <w:p>
            <w:r>
              <w:t>Reviewed with Papa on Oct 25, 2026 call</w:t>
            </w:r>
          </w:p>
        </w:tc>
      </w:tr>
      <w:tr>
        <w:tc>
          <w:tcPr>
            <w:tcW w:type="dxa" w:w="3744"/>
          </w:tcPr>
          <w:p>
            <w:r>
              <w:t>Depreciation schedule review on shared tools</w:t>
            </w:r>
          </w:p>
        </w:tc>
        <w:tc>
          <w:tcPr>
            <w:tcW w:type="dxa" w:w="2736"/>
          </w:tcPr>
          <w:p>
            <w:r>
              <w:t>Xero fixed asset register</w:t>
            </w:r>
          </w:p>
        </w:tc>
        <w:tc>
          <w:tcPr>
            <w:tcW w:type="dxa" w:w="3600"/>
          </w:tcPr>
          <w:p>
            <w:r>
              <w:t>Papa asks whether the truck line is on straight or MACRS</w:t>
            </w:r>
          </w:p>
        </w:tc>
      </w:tr>
    </w:tbl>
    <w:p>
      <w:pPr>
        <w:spacing w:after="120"/>
      </w:pPr>
      <w:r>
        <w:t>These items are handed back to Papa. They do not appear on Dana's 1040 or on the Colorado state return.</w:t>
      </w:r>
    </w:p>
    <w:p>
      <w:pPr>
        <w:spacing w:before="200" w:after="80"/>
      </w:pPr>
      <w:r>
        <w:rPr>
          <w:b/>
          <w:color w:val="333366"/>
          <w:sz w:val="26"/>
        </w:rPr>
        <w:t>Open questions for the preparer</w:t>
      </w:r>
    </w:p>
    <w:p>
      <w:pPr>
        <w:spacing w:after="120"/>
      </w:pPr>
      <w:r>
        <w:t>1. Whether the July 1, 2026 residency change qualifies any 2026 in year moving expense against current Colorado rules.</w:t>
      </w:r>
    </w:p>
    <w:p>
      <w:pPr>
        <w:spacing w:after="120"/>
      </w:pPr>
      <w:r>
        <w:t>2. Whether the Stonebridge RTD pass benefit is pre tax or post tax and how it is reflected on the W-2.</w:t>
      </w:r>
    </w:p>
    <w:p>
      <w:pPr>
        <w:spacing w:after="120"/>
      </w:pPr>
      <w:r>
        <w:t>3. Whether the crypto gifts from Val require any Form 709 disclosure on Val's side or any basis tracking documentation on Dana's side.</w:t>
      </w:r>
    </w:p>
    <w:p>
      <w:pPr>
        <w:spacing w:after="120"/>
      </w:pPr>
      <w:r>
        <w:t>4. Whether the residency step up from PGY-1 to PGY-2 changed any withholding elections that need adjustment for 2027.</w:t>
      </w:r>
    </w:p>
    <w:p>
      <w:pPr>
        <w:spacing w:after="120"/>
      </w:pPr>
      <w:r>
        <w:t>5. Whether Colorado offers any resident physician credit or medical education credit that would apply.</w:t>
      </w:r>
    </w:p>
    <w:p>
      <w:pPr>
        <w:spacing w:before="200" w:after="80"/>
      </w:pPr>
      <w:r>
        <w:rPr>
          <w:b/>
          <w:color w:val="333366"/>
          <w:sz w:val="26"/>
        </w:rPr>
        <w:t>Judgment calls named</w:t>
      </w:r>
    </w:p>
    <w:p>
      <w:pPr>
        <w:spacing w:after="120"/>
      </w:pPr>
      <w:r>
        <w:t>Servicer November 1, 2026 statement trusted for principal and rate. Older July 15, 2026 email confirmation set aside. Reconciled 2026 close through November 30, 2026 trusted for all category baselines. Any December 2026 figures marked as estimates and updated at year end before the return is finalized. Where a document has not yet been issued, the line is held open rather than filled with an assumed figure.</w:t>
      </w:r>
    </w:p>
    <w:p>
      <w:pPr>
        <w:spacing w:before="200" w:after="80"/>
      </w:pPr>
      <w:r>
        <w:rPr>
          <w:b/>
          <w:color w:val="333366"/>
          <w:sz w:val="26"/>
        </w:rPr>
        <w:t>Confidentiality</w:t>
      </w:r>
    </w:p>
    <w:p>
      <w:pPr>
        <w:spacing w:after="120"/>
      </w:pPr>
      <w:r>
        <w:t>This organizer stays inside the loop of Dana and any preparer Dana explicitly engages. No dollar figure here is shared with Mama, Papa, or Val without Dana's explicit go ahead. The Papa routed items appendix is the only section Papa sees, and it is separate from Dana's return.</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