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026"/>
      </w:tblGrid>
      <w:tr>
        <w:tc>
          <w:tcPr>
            <w:tcW w:type="dxa" w:w="14026"/>
            <w:shd w:val="clear" w:color="auto" w:fill="B8860B"/>
          </w:tcPr>
          <w:p/>
        </w:tc>
      </w:tr>
    </w:tbl>
    <w:p>
      <w:pPr>
        <w:spacing w:before="600"/>
      </w:pPr>
      <w:r>
        <w:rPr>
          <w:rFonts w:ascii="Calibri" w:hAnsi="Calibri"/>
          <w:b/>
          <w:i w:val="0"/>
          <w:color w:val="0F2A4A"/>
          <w:sz w:val="48"/>
        </w:rPr>
        <w:t>Finance-System Access — Forensic Chronology</w:t>
      </w:r>
    </w:p>
    <w:p>
      <w:r>
        <w:rPr>
          <w:rFonts w:ascii="Calibri" w:hAnsi="Calibri"/>
          <w:b w:val="0"/>
          <w:i w:val="0"/>
          <w:color w:val="274C77"/>
          <w:sz w:val="24"/>
        </w:rPr>
        <w:t>Identity-Assertion Cross-Check · Okta × Badge × VPN · Anomalous-Quarter Window</w:t>
      </w:r>
    </w:p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7013"/>
        <w:gridCol w:w="7013"/>
      </w:tblGrid>
      <w:tr>
        <w:tc>
          <w:tcPr>
            <w:tcW w:type="dxa" w:w="3118"/>
            <w:tcMar>
              <w:top w:w="40" w:type="dxa"/>
              <w:bottom w:w="40" w:type="dxa"/>
              <w:start w:w="0" w:type="dxa"/>
              <w:end w:w="60" w:type="dxa"/>
            </w:tcMar>
            <w:tcBorders>
              <w:bottom w:val="single" w:sz="4" w:space="0" w:color="C9D3DE"/>
            </w:tcBorders>
          </w:tcPr>
          <w:p>
            <w:r>
              <w:rPr>
                <w:rFonts w:ascii="Calibri" w:hAnsi="Calibri"/>
                <w:b/>
                <w:i w:val="0"/>
                <w:color w:val="274C77"/>
                <w:sz w:val="18"/>
              </w:rPr>
              <w:t>Engagement</w:t>
            </w:r>
          </w:p>
        </w:tc>
        <w:tc>
          <w:tcPr>
            <w:tcW w:type="dxa" w:w="6803"/>
            <w:tcMar>
              <w:top w:w="40" w:type="dxa"/>
              <w:bottom w:w="40" w:type="dxa"/>
              <w:start w:w="60" w:type="dxa"/>
              <w:end w:w="0" w:type="dxa"/>
            </w:tcMar>
            <w:tcBorders>
              <w:bottom w:val="single" w:sz="4" w:space="0" w:color="C9D3DE"/>
            </w:tcBorders>
          </w:tcPr>
          <w:p>
            <w:r>
              <w:rPr>
                <w:rFonts w:ascii="Calibri" w:hAnsi="Calibri"/>
                <w:b w:val="0"/>
                <w:i w:val="0"/>
                <w:color w:val="555555"/>
                <w:sz w:val="18"/>
              </w:rPr>
              <w:t>Vinterberg Group AB — forensic accounting mandate</w:t>
            </w:r>
          </w:p>
        </w:tc>
      </w:tr>
      <w:tr>
        <w:tc>
          <w:tcPr>
            <w:tcW w:type="dxa" w:w="3118"/>
            <w:tcMar>
              <w:top w:w="40" w:type="dxa"/>
              <w:bottom w:w="40" w:type="dxa"/>
              <w:start w:w="0" w:type="dxa"/>
              <w:end w:w="60" w:type="dxa"/>
            </w:tcMar>
            <w:tcBorders>
              <w:bottom w:val="single" w:sz="4" w:space="0" w:color="C9D3DE"/>
            </w:tcBorders>
          </w:tcPr>
          <w:p>
            <w:r>
              <w:rPr>
                <w:rFonts w:ascii="Calibri" w:hAnsi="Calibri"/>
                <w:b/>
                <w:i w:val="0"/>
                <w:color w:val="274C77"/>
                <w:sz w:val="18"/>
              </w:rPr>
              <w:t>Prepared by</w:t>
            </w:r>
          </w:p>
        </w:tc>
        <w:tc>
          <w:tcPr>
            <w:tcW w:type="dxa" w:w="6803"/>
            <w:tcMar>
              <w:top w:w="40" w:type="dxa"/>
              <w:bottom w:w="40" w:type="dxa"/>
              <w:start w:w="60" w:type="dxa"/>
              <w:end w:w="0" w:type="dxa"/>
            </w:tcMar>
            <w:tcBorders>
              <w:bottom w:val="single" w:sz="4" w:space="0" w:color="C9D3DE"/>
            </w:tcBorders>
          </w:tcPr>
          <w:p>
            <w:r>
              <w:rPr>
                <w:rFonts w:ascii="Calibri" w:hAnsi="Calibri"/>
                <w:b w:val="0"/>
                <w:i w:val="0"/>
                <w:color w:val="555555"/>
                <w:sz w:val="18"/>
              </w:rPr>
              <w:t>Carl Dillon, Eriksson &amp; Holm Revisionsbyra</w:t>
            </w:r>
          </w:p>
        </w:tc>
      </w:tr>
      <w:tr>
        <w:tc>
          <w:tcPr>
            <w:tcW w:type="dxa" w:w="3118"/>
            <w:tcMar>
              <w:top w:w="40" w:type="dxa"/>
              <w:bottom w:w="40" w:type="dxa"/>
              <w:start w:w="0" w:type="dxa"/>
              <w:end w:w="60" w:type="dxa"/>
            </w:tcMar>
            <w:tcBorders>
              <w:bottom w:val="single" w:sz="4" w:space="0" w:color="C9D3DE"/>
            </w:tcBorders>
          </w:tcPr>
          <w:p>
            <w:r>
              <w:rPr>
                <w:rFonts w:ascii="Calibri" w:hAnsi="Calibri"/>
                <w:b/>
                <w:i w:val="0"/>
                <w:color w:val="274C77"/>
                <w:sz w:val="18"/>
              </w:rPr>
              <w:t>Workstream</w:t>
            </w:r>
          </w:p>
        </w:tc>
        <w:tc>
          <w:tcPr>
            <w:tcW w:type="dxa" w:w="6803"/>
            <w:tcMar>
              <w:top w:w="40" w:type="dxa"/>
              <w:bottom w:w="40" w:type="dxa"/>
              <w:start w:w="60" w:type="dxa"/>
              <w:end w:w="0" w:type="dxa"/>
            </w:tcMar>
            <w:tcBorders>
              <w:bottom w:val="single" w:sz="4" w:space="0" w:color="C9D3DE"/>
            </w:tcBorders>
          </w:tcPr>
          <w:p>
            <w:r>
              <w:rPr>
                <w:rFonts w:ascii="Calibri" w:hAnsi="Calibri"/>
                <w:b w:val="0"/>
                <w:i w:val="0"/>
                <w:color w:val="555555"/>
                <w:sz w:val="18"/>
              </w:rPr>
              <w:t>Digital evidence — access chronology (spine of section)</w:t>
            </w:r>
          </w:p>
        </w:tc>
      </w:tr>
      <w:tr>
        <w:tc>
          <w:tcPr>
            <w:tcW w:type="dxa" w:w="3118"/>
            <w:tcMar>
              <w:top w:w="40" w:type="dxa"/>
              <w:bottom w:w="40" w:type="dxa"/>
              <w:start w:w="0" w:type="dxa"/>
              <w:end w:w="60" w:type="dxa"/>
            </w:tcMar>
            <w:tcBorders>
              <w:bottom w:val="single" w:sz="4" w:space="0" w:color="C9D3DE"/>
            </w:tcBorders>
          </w:tcPr>
          <w:p>
            <w:r>
              <w:rPr>
                <w:rFonts w:ascii="Calibri" w:hAnsi="Calibri"/>
                <w:b/>
                <w:i w:val="0"/>
                <w:color w:val="274C77"/>
                <w:sz w:val="18"/>
              </w:rPr>
              <w:t>Extract scope</w:t>
            </w:r>
          </w:p>
        </w:tc>
        <w:tc>
          <w:tcPr>
            <w:tcW w:type="dxa" w:w="6803"/>
            <w:tcMar>
              <w:top w:w="40" w:type="dxa"/>
              <w:bottom w:w="40" w:type="dxa"/>
              <w:start w:w="60" w:type="dxa"/>
              <w:end w:w="0" w:type="dxa"/>
            </w:tcMar>
            <w:tcBorders>
              <w:bottom w:val="single" w:sz="4" w:space="0" w:color="C9D3DE"/>
            </w:tcBorders>
          </w:tcPr>
          <w:p>
            <w:r>
              <w:rPr>
                <w:rFonts w:ascii="Calibri" w:hAnsi="Calibri"/>
                <w:b w:val="0"/>
                <w:i w:val="0"/>
                <w:color w:val="555555"/>
                <w:sz w:val="18"/>
              </w:rPr>
              <w:t>20-event anomaly excerpt, 2025-11-13 → 2025-11-14 (CET)</w:t>
            </w:r>
          </w:p>
        </w:tc>
      </w:tr>
      <w:tr>
        <w:tc>
          <w:tcPr>
            <w:tcW w:type="dxa" w:w="3118"/>
            <w:tcMar>
              <w:top w:w="40" w:type="dxa"/>
              <w:bottom w:w="40" w:type="dxa"/>
              <w:start w:w="0" w:type="dxa"/>
              <w:end w:w="60" w:type="dxa"/>
            </w:tcMar>
            <w:tcBorders>
              <w:bottom w:val="single" w:sz="4" w:space="0" w:color="C9D3DE"/>
            </w:tcBorders>
          </w:tcPr>
          <w:p>
            <w:r>
              <w:rPr>
                <w:rFonts w:ascii="Calibri" w:hAnsi="Calibri"/>
                <w:b/>
                <w:i w:val="0"/>
                <w:color w:val="274C77"/>
                <w:sz w:val="18"/>
              </w:rPr>
              <w:t>Source of record</w:t>
            </w:r>
          </w:p>
        </w:tc>
        <w:tc>
          <w:tcPr>
            <w:tcW w:type="dxa" w:w="6803"/>
            <w:tcMar>
              <w:top w:w="40" w:type="dxa"/>
              <w:bottom w:w="40" w:type="dxa"/>
              <w:start w:w="60" w:type="dxa"/>
              <w:end w:w="0" w:type="dxa"/>
            </w:tcMar>
            <w:tcBorders>
              <w:bottom w:val="single" w:sz="4" w:space="0" w:color="C9D3DE"/>
            </w:tcBorders>
          </w:tcPr>
          <w:p>
            <w:r>
              <w:rPr>
                <w:rFonts w:ascii="Calibri" w:hAnsi="Calibri"/>
                <w:b w:val="0"/>
                <w:i w:val="0"/>
                <w:color w:val="555555"/>
                <w:sz w:val="18"/>
              </w:rPr>
              <w:t>access_log_anomaly_excerpt.csv (seed excerpt)</w:t>
            </w:r>
          </w:p>
        </w:tc>
      </w:tr>
      <w:tr>
        <w:tc>
          <w:tcPr>
            <w:tcW w:type="dxa" w:w="3118"/>
            <w:tcMar>
              <w:top w:w="40" w:type="dxa"/>
              <w:bottom w:w="40" w:type="dxa"/>
              <w:start w:w="0" w:type="dxa"/>
              <w:end w:w="60" w:type="dxa"/>
            </w:tcMar>
            <w:tcBorders>
              <w:bottom w:val="single" w:sz="4" w:space="0" w:color="C9D3DE"/>
            </w:tcBorders>
          </w:tcPr>
          <w:p>
            <w:r>
              <w:rPr>
                <w:rFonts w:ascii="Calibri" w:hAnsi="Calibri"/>
                <w:b/>
                <w:i w:val="0"/>
                <w:color w:val="274C77"/>
                <w:sz w:val="18"/>
              </w:rPr>
              <w:t>Cross-checked against</w:t>
            </w:r>
          </w:p>
        </w:tc>
        <w:tc>
          <w:tcPr>
            <w:tcW w:type="dxa" w:w="6803"/>
            <w:tcMar>
              <w:top w:w="40" w:type="dxa"/>
              <w:bottom w:w="40" w:type="dxa"/>
              <w:start w:w="60" w:type="dxa"/>
              <w:end w:w="0" w:type="dxa"/>
            </w:tcMar>
            <w:tcBorders>
              <w:bottom w:val="single" w:sz="4" w:space="0" w:color="C9D3DE"/>
            </w:tcBorders>
          </w:tcPr>
          <w:p>
            <w:r>
              <w:rPr>
                <w:rFonts w:ascii="Calibri" w:hAnsi="Calibri"/>
                <w:b w:val="0"/>
                <w:i w:val="0"/>
                <w:color w:val="555555"/>
                <w:sz w:val="18"/>
              </w:rPr>
              <w:t>badge_access_records.csv · vpn_session_logs.csv (DX-2026-10-22)</w:t>
            </w:r>
          </w:p>
        </w:tc>
      </w:tr>
      <w:tr>
        <w:tc>
          <w:tcPr>
            <w:tcW w:type="dxa" w:w="3118"/>
            <w:tcMar>
              <w:top w:w="40" w:type="dxa"/>
              <w:bottom w:w="40" w:type="dxa"/>
              <w:start w:w="0" w:type="dxa"/>
              <w:end w:w="60" w:type="dxa"/>
            </w:tcMar>
            <w:tcBorders>
              <w:bottom w:val="single" w:sz="4" w:space="0" w:color="C9D3DE"/>
            </w:tcBorders>
          </w:tcPr>
          <w:p>
            <w:r>
              <w:rPr>
                <w:rFonts w:ascii="Calibri" w:hAnsi="Calibri"/>
                <w:b/>
                <w:i w:val="0"/>
                <w:color w:val="274C77"/>
                <w:sz w:val="18"/>
              </w:rPr>
              <w:t>Cut-off / as-of</w:t>
            </w:r>
          </w:p>
        </w:tc>
        <w:tc>
          <w:tcPr>
            <w:tcW w:type="dxa" w:w="6803"/>
            <w:tcMar>
              <w:top w:w="40" w:type="dxa"/>
              <w:bottom w:w="40" w:type="dxa"/>
              <w:start w:w="60" w:type="dxa"/>
              <w:end w:w="0" w:type="dxa"/>
            </w:tcMar>
            <w:tcBorders>
              <w:bottom w:val="single" w:sz="4" w:space="0" w:color="C9D3DE"/>
            </w:tcBorders>
          </w:tcPr>
          <w:p>
            <w:r>
              <w:rPr>
                <w:rFonts w:ascii="Calibri" w:hAnsi="Calibri"/>
                <w:b w:val="0"/>
                <w:i w:val="0"/>
                <w:color w:val="555555"/>
                <w:sz w:val="18"/>
              </w:rPr>
              <w:t>2026-10-22</w:t>
            </w:r>
          </w:p>
        </w:tc>
      </w:tr>
      <w:tr>
        <w:tc>
          <w:tcPr>
            <w:tcW w:type="dxa" w:w="3118"/>
            <w:tcMar>
              <w:top w:w="40" w:type="dxa"/>
              <w:bottom w:w="40" w:type="dxa"/>
              <w:start w:w="0" w:type="dxa"/>
              <w:end w:w="60" w:type="dxa"/>
            </w:tcMar>
            <w:tcBorders>
              <w:bottom w:val="single" w:sz="4" w:space="0" w:color="C9D3DE"/>
            </w:tcBorders>
          </w:tcPr>
          <w:p>
            <w:r>
              <w:rPr>
                <w:rFonts w:ascii="Calibri" w:hAnsi="Calibri"/>
                <w:b/>
                <w:i w:val="0"/>
                <w:color w:val="274C77"/>
                <w:sz w:val="18"/>
              </w:rPr>
              <w:t>Document reference</w:t>
            </w:r>
          </w:p>
        </w:tc>
        <w:tc>
          <w:tcPr>
            <w:tcW w:type="dxa" w:w="6803"/>
            <w:tcMar>
              <w:top w:w="40" w:type="dxa"/>
              <w:bottom w:w="40" w:type="dxa"/>
              <w:start w:w="60" w:type="dxa"/>
              <w:end w:w="0" w:type="dxa"/>
            </w:tcMar>
            <w:tcBorders>
              <w:bottom w:val="single" w:sz="4" w:space="0" w:color="C9D3DE"/>
            </w:tcBorders>
          </w:tcPr>
          <w:p>
            <w:r>
              <w:rPr>
                <w:rFonts w:ascii="Calibri" w:hAnsi="Calibri"/>
                <w:b w:val="0"/>
                <w:i w:val="0"/>
                <w:color w:val="555555"/>
                <w:sz w:val="18"/>
              </w:rPr>
              <w:t>VG-ACCESS-CHRON-01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026"/>
      </w:tblGrid>
      <w:tr>
        <w:tc>
          <w:tcPr>
            <w:tcW w:type="dxa" w:w="14026"/>
            <w:shd w:val="clear" w:color="auto" w:fill="FBE9E7"/>
            <w:tcBorders>
              <w:left w:val="single" w:sz="24" w:space="0" w:color="8B1E1E"/>
            </w:tcBorders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8B1E1E"/>
                <w:sz w:val="20"/>
              </w:rPr>
              <w:t>CLASSIFICATION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CONFIDENTIAL — PRIVILEGED. This is a 20-event anomaly EXCERPT, not the chronology. The load-bearing spine is access_log_full_18mo.csv (2,486 events) cross-checked against badge and VPN logs; any event that cannot be tied to a live human at a specific location goes to the open-questions ledger.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0F2A4A"/>
          <w:sz w:val="30"/>
        </w:rPr>
        <w:t>1. Executive Summary</w:t>
      </w:r>
    </w:p>
    <w:p>
      <w:pPr>
        <w:pBdr>
          <w:bottom w:val="single" w:sz="8" w:space="1" w:color="C9D3DE"/>
        </w:pBd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c>
          <w:tcPr>
            <w:tcW w:type="dxa" w:w="3506"/>
            <w:shd w:val="clear" w:color="auto" w:fill="EEF1F5"/>
            <w:tcMar>
              <w:top w:w="90" w:type="dxa"/>
              <w:bottom w:w="90" w:type="dxa"/>
              <w:start w:w="110" w:type="dxa"/>
              <w:end w:w="110" w:type="dxa"/>
            </w:tcMar>
            <w:tcBorders>
              <w:left w:val="single" w:sz="20" w:space="0" w:color="0F2A4A"/>
            </w:tcBorders>
          </w:tcPr>
          <w:p>
            <w:r>
              <w:rPr>
                <w:rFonts w:ascii="Calibri" w:hAnsi="Calibri"/>
                <w:b/>
                <w:i w:val="0"/>
                <w:color w:val="0F2A4A"/>
                <w:sz w:val="32"/>
              </w:rPr>
              <w:t>EVENTS IN EXCERPT</w:t>
            </w:r>
          </w:p>
          <w:p>
            <w:r>
              <w:rPr>
                <w:rFonts w:ascii="Calibri" w:hAnsi="Calibri"/>
                <w:b/>
                <w:i w:val="0"/>
                <w:color w:val="274C77"/>
                <w:sz w:val="17"/>
              </w:rPr>
              <w:t>20</w:t>
            </w:r>
          </w:p>
          <w:p>
            <w:r>
              <w:rPr>
                <w:rFonts w:ascii="Calibri" w:hAnsi="Calibri"/>
                <w:b w:val="0"/>
                <w:i w:val="0"/>
                <w:color w:val="555555"/>
                <w:sz w:val="16"/>
              </w:rPr>
              <w:t>2025-11-13/14 window</w:t>
            </w:r>
          </w:p>
        </w:tc>
        <w:tc>
          <w:tcPr>
            <w:tcW w:type="dxa" w:w="3506"/>
            <w:shd w:val="clear" w:color="auto" w:fill="EEF1F5"/>
            <w:tcMar>
              <w:top w:w="90" w:type="dxa"/>
              <w:bottom w:w="90" w:type="dxa"/>
              <w:start w:w="110" w:type="dxa"/>
              <w:end w:w="110" w:type="dxa"/>
            </w:tcMar>
            <w:tcBorders>
              <w:left w:val="single" w:sz="20" w:space="0" w:color="0F2A4A"/>
            </w:tcBorders>
          </w:tcPr>
          <w:p>
            <w:r>
              <w:rPr>
                <w:rFonts w:ascii="Calibri" w:hAnsi="Calibri"/>
                <w:b/>
                <w:i w:val="0"/>
                <w:color w:val="0F2A4A"/>
                <w:sz w:val="32"/>
              </w:rPr>
              <w:t>UNANCHORED OVERRIDE</w:t>
            </w:r>
          </w:p>
          <w:p>
            <w:r>
              <w:rPr>
                <w:rFonts w:ascii="Calibri" w:hAnsi="Calibri"/>
                <w:b/>
                <w:i w:val="0"/>
                <w:color w:val="274C77"/>
                <w:sz w:val="17"/>
              </w:rPr>
              <w:t>1</w:t>
            </w:r>
          </w:p>
          <w:p>
            <w:r>
              <w:rPr>
                <w:rFonts w:ascii="Calibri" w:hAnsi="Calibri"/>
                <w:b w:val="0"/>
                <w:i w:val="0"/>
                <w:color w:val="555555"/>
                <w:sz w:val="16"/>
              </w:rPr>
              <w:t>J.EKSTROM, departed 2024</w:t>
            </w:r>
          </w:p>
        </w:tc>
        <w:tc>
          <w:tcPr>
            <w:tcW w:type="dxa" w:w="3506"/>
            <w:shd w:val="clear" w:color="auto" w:fill="EEF1F5"/>
            <w:tcMar>
              <w:top w:w="90" w:type="dxa"/>
              <w:bottom w:w="90" w:type="dxa"/>
              <w:start w:w="110" w:type="dxa"/>
              <w:end w:w="110" w:type="dxa"/>
            </w:tcMar>
            <w:tcBorders>
              <w:left w:val="single" w:sz="20" w:space="0" w:color="0F2A4A"/>
            </w:tcBorders>
          </w:tcPr>
          <w:p>
            <w:r>
              <w:rPr>
                <w:rFonts w:ascii="Calibri" w:hAnsi="Calibri"/>
                <w:b/>
                <w:i w:val="0"/>
                <w:color w:val="0F2A4A"/>
                <w:sz w:val="32"/>
              </w:rPr>
              <w:t>BADGE / VPN</w:t>
            </w:r>
          </w:p>
          <w:p>
            <w:r>
              <w:rPr>
                <w:rFonts w:ascii="Calibri" w:hAnsi="Calibri"/>
                <w:b/>
                <w:i w:val="0"/>
                <w:color w:val="274C77"/>
                <w:sz w:val="17"/>
              </w:rPr>
              <w:t>0/0</w:t>
            </w:r>
          </w:p>
          <w:p>
            <w:r>
              <w:rPr>
                <w:rFonts w:ascii="Calibri" w:hAnsi="Calibri"/>
                <w:b w:val="0"/>
                <w:i w:val="0"/>
                <w:color w:val="555555"/>
                <w:sz w:val="16"/>
              </w:rPr>
              <w:t>for the override event</w:t>
            </w:r>
          </w:p>
        </w:tc>
        <w:tc>
          <w:tcPr>
            <w:tcW w:type="dxa" w:w="3506"/>
            <w:shd w:val="clear" w:color="auto" w:fill="EEF1F5"/>
            <w:tcMar>
              <w:top w:w="90" w:type="dxa"/>
              <w:bottom w:w="90" w:type="dxa"/>
              <w:start w:w="110" w:type="dxa"/>
              <w:end w:w="110" w:type="dxa"/>
            </w:tcMar>
            <w:tcBorders>
              <w:left w:val="single" w:sz="20" w:space="0" w:color="0F2A4A"/>
            </w:tcBorders>
          </w:tcPr>
          <w:p>
            <w:r>
              <w:rPr>
                <w:rFonts w:ascii="Calibri" w:hAnsi="Calibri"/>
                <w:b/>
                <w:i w:val="0"/>
                <w:color w:val="0F2A4A"/>
                <w:sz w:val="32"/>
              </w:rPr>
              <w:t>FULL SPINE</w:t>
            </w:r>
          </w:p>
          <w:p>
            <w:r>
              <w:rPr>
                <w:rFonts w:ascii="Calibri" w:hAnsi="Calibri"/>
                <w:b/>
                <w:i w:val="0"/>
                <w:color w:val="274C77"/>
                <w:sz w:val="17"/>
              </w:rPr>
              <w:t>18mo</w:t>
            </w:r>
          </w:p>
          <w:p>
            <w:r>
              <w:rPr>
                <w:rFonts w:ascii="Calibri" w:hAnsi="Calibri"/>
                <w:b w:val="0"/>
                <w:i w:val="0"/>
                <w:color w:val="555555"/>
                <w:sz w:val="16"/>
              </w:rPr>
              <w:t>access_log_full_18mo.csv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0"/>
        </w:rPr>
        <w:t>The access chronology is the spine of the digital-evidence section and must survive a defence cross-examination. Every identity assertion in the finance systems is cross-checked against the physical badge records and the VPN session logs that arrived on the 2026-10-22 document exchange. Any log entry that cannot be tied to a live human at a specific location is routed to an open-questions ledger rather than into the main narrative. This excerpt captures the single most probative window.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026"/>
      </w:tblGrid>
      <w:tr>
        <w:tc>
          <w:tcPr>
            <w:tcW w:type="dxa" w:w="14026"/>
            <w:shd w:val="clear" w:color="auto" w:fill="FBE9E7"/>
            <w:tcBorders>
              <w:left w:val="single" w:sz="24" w:space="0" w:color="8B1E1E"/>
            </w:tcBorders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8B1E1E"/>
                <w:sz w:val="20"/>
              </w:rPr>
              <w:t>WHY THIS EXCERPT IS A TRAP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This is a hand-picked 20-event excerpt. The load-bearing chronology is the full 18-month log (access_log_full_18mo.csv, 2,486 events) reconciled event-by-event against badge_access_records.csv (2,827) and vpn_session_logs.csv (2,827). Building the section from the excerpt alone would not survive a defence challenge that the window was cherry-picked.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0F2A4A"/>
          <w:sz w:val="30"/>
        </w:rPr>
        <w:t>2. The Anchor Anomaly — EVT-1013947</w:t>
      </w:r>
    </w:p>
    <w:p>
      <w:pPr>
        <w:pBdr>
          <w:bottom w:val="single" w:sz="8" w:space="1" w:color="C9D3DE"/>
        </w:pBdr>
        <w:spacing w:after="80"/>
      </w:pPr>
    </w:p>
    <w:p>
      <w:pPr>
        <w:spacing w:after="120"/>
        <w:jc w:val="both"/>
      </w:pPr>
      <w:r>
        <w:rPr>
          <w:rFonts w:ascii="Calibri" w:hAnsi="Calibri"/>
          <w:b/>
          <w:i w:val="0"/>
          <w:sz w:val="20"/>
        </w:rPr>
        <w:t xml:space="preserve">Unanchored admin override: </w:t>
      </w:r>
      <w:r>
        <w:rPr>
          <w:rFonts w:ascii="Calibri" w:hAnsi="Calibri"/>
          <w:b w:val="0"/>
          <w:i w:val="0"/>
          <w:sz w:val="20"/>
        </w:rPr>
        <w:t xml:space="preserve">At 2025-11-14T03:17:44+01:00 on host VM-IAM-01, identity </w:t>
      </w:r>
      <w:r>
        <w:rPr>
          <w:rFonts w:ascii="Calibri" w:hAnsi="Calibri"/>
          <w:b/>
          <w:i w:val="0"/>
          <w:color w:val="8B1E1E"/>
          <w:sz w:val="20"/>
        </w:rPr>
        <w:t>J.EKSTROM</w:t>
      </w:r>
      <w:r>
        <w:rPr>
          <w:rFonts w:ascii="Calibri" w:hAnsi="Calibri"/>
          <w:b w:val="0"/>
          <w:i w:val="0"/>
          <w:sz w:val="20"/>
        </w:rPr>
        <w:t xml:space="preserve"> — user_status </w:t>
      </w:r>
      <w:r>
        <w:rPr>
          <w:rFonts w:ascii="Calibri" w:hAnsi="Calibri"/>
          <w:b/>
          <w:i w:val="0"/>
          <w:sz w:val="20"/>
        </w:rPr>
        <w:t>departed_2024</w:t>
      </w:r>
      <w:r>
        <w:rPr>
          <w:rFonts w:ascii="Calibri" w:hAnsi="Calibri"/>
          <w:b w:val="0"/>
          <w:i w:val="0"/>
          <w:sz w:val="20"/>
        </w:rPr>
        <w:t xml:space="preserve"> — performs an admin_override authenticated action under service actor SVC-IAM-01. badge_scan_present = false and vpn_session_present = false, and NO corresponding row exists in either badge_access_records.csv or vpn_session_logs.csv. The identity cannot be tied to a live human at a physical location. It is therefore UNANCHORED and goes to the open-questions ledger, not the main narrative.</w:t>
      </w:r>
    </w:p>
    <w:p>
      <w:pPr>
        <w:spacing w:after="120"/>
        <w:jc w:val="both"/>
      </w:pPr>
      <w:r>
        <w:rPr>
          <w:rFonts w:ascii="Calibri" w:hAnsi="Calibri"/>
          <w:b/>
          <w:i w:val="0"/>
          <w:sz w:val="20"/>
        </w:rPr>
        <w:t xml:space="preserve">Bracketing context: </w:t>
      </w:r>
      <w:r>
        <w:rPr>
          <w:rFonts w:ascii="Calibri" w:hAnsi="Calibri"/>
          <w:b w:val="0"/>
          <w:i w:val="0"/>
          <w:sz w:val="20"/>
        </w:rPr>
        <w:t>The override sits between routine cert-bound service events (SVC-IAM-01, SVC-BACKUP, SVC-MONITOR) that are themselves ticket-anchored (TCK-88214/88215/88220). The human sessions on either side (L.SANDBERG, K.HANSEN, K.LINDQVIST, M.OHLIN) all carry MFA, a workstation ID, badge=true and vpn=true — the contrast that isolates the override.</w:t>
      </w:r>
    </w:p>
    <w:p>
      <w:pPr>
        <w:spacing w:after="120"/>
        <w:jc w:val="both"/>
      </w:pPr>
      <w:r>
        <w:rPr>
          <w:rFonts w:ascii="Calibri" w:hAnsi="Calibri"/>
          <w:b/>
          <w:i w:val="0"/>
          <w:sz w:val="20"/>
        </w:rPr>
        <w:t xml:space="preserve">Identity-to-insider cross-links: </w:t>
      </w:r>
      <w:r>
        <w:rPr>
          <w:rFonts w:ascii="Calibri" w:hAnsi="Calibri"/>
          <w:b w:val="0"/>
          <w:i w:val="0"/>
          <w:sz w:val="20"/>
        </w:rPr>
        <w:t>K.LINDQVIST (badge WKS-4312) resolves to the Lindqvist Facility Services beneficial owner (MSA-0152); L.SANDBERG shares a surname with Nordkap UBO 'H Sandberg' (MSA-0118). Both are carried to the vendor workstream for related-party confirmation.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026"/>
      </w:tblGrid>
      <w:tr>
        <w:tc>
          <w:tcPr>
            <w:tcW w:type="dxa" w:w="14026"/>
            <w:shd w:val="clear" w:color="auto" w:fill="FFF6DA"/>
            <w:tcBorders>
              <w:left w:val="single" w:sz="24" w:space="0" w:color="B8860B"/>
            </w:tcBorders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0F2A4A"/>
                <w:sz w:val="20"/>
              </w:rPr>
              <w:t>ANCHORING RULE (survives cross-examination)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An access event enters the main narrative only if the asserted identity is corroborated by (a) a physical badge scan at a known location AND (b) a VPN session, OR is a cert-bound service actor tied to an open change ticket. Everything else — above all a departed employee performing an admin override with no badge and no VPN — is unanchored and escalated.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0F2A4A"/>
          <w:sz w:val="30"/>
        </w:rPr>
        <w:t>3. Event Chronology — Anomaly Window (20 events)</w:t>
      </w:r>
    </w:p>
    <w:p>
      <w:pPr>
        <w:pBdr>
          <w:bottom w:val="single" w:sz="8" w:space="1" w:color="C9D3DE"/>
        </w:pBdr>
        <w:spacing w:after="80"/>
      </w:pPr>
    </w:p>
    <w:p>
      <w:pPr>
        <w:spacing w:after="120"/>
      </w:pPr>
      <w:r>
        <w:rPr>
          <w:rFonts w:ascii="Calibri" w:hAnsi="Calibri"/>
          <w:b w:val="0"/>
          <w:i w:val="0"/>
          <w:sz w:val="16"/>
        </w:rPr>
        <w:t xml:space="preserve">Rows shaded </w:t>
      </w:r>
      <w:r>
        <w:rPr>
          <w:rFonts w:ascii="Calibri" w:hAnsi="Calibri"/>
          <w:b/>
          <w:i w:val="0"/>
          <w:color w:val="8B1E1E"/>
          <w:sz w:val="16"/>
        </w:rPr>
        <w:t>red</w:t>
      </w:r>
      <w:r>
        <w:rPr>
          <w:rFonts w:ascii="Calibri" w:hAnsi="Calibri"/>
          <w:b w:val="0"/>
          <w:i w:val="0"/>
          <w:sz w:val="16"/>
        </w:rPr>
        <w:t xml:space="preserve"> are the unanchored override / departed-identity events; </w:t>
      </w:r>
      <w:r>
        <w:rPr>
          <w:rFonts w:ascii="Calibri" w:hAnsi="Calibri"/>
          <w:b/>
          <w:i w:val="0"/>
          <w:color w:val="B8860B"/>
          <w:sz w:val="16"/>
        </w:rPr>
        <w:t>gold</w:t>
      </w:r>
      <w:r>
        <w:rPr>
          <w:rFonts w:ascii="Calibri" w:hAnsi="Calibri"/>
          <w:b w:val="0"/>
          <w:i w:val="0"/>
          <w:sz w:val="16"/>
        </w:rPr>
        <w:t xml:space="preserve"> are cert-bound service actors. Times are CET.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rPr>
          <w:tblHeader w:val="true"/>
        </w:trPr>
        <w:tc>
          <w:tcPr>
            <w:tcW w:type="dxa" w:w="1361"/>
            <w:shd w:val="clear" w:color="auto" w:fill="0F2A4A"/>
            <w:tcMar>
              <w:top w:w="30" w:type="dxa"/>
              <w:bottom w:w="30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Event Id</w:t>
            </w:r>
          </w:p>
        </w:tc>
        <w:tc>
          <w:tcPr>
            <w:tcW w:type="dxa" w:w="1474"/>
            <w:shd w:val="clear" w:color="auto" w:fill="0F2A4A"/>
            <w:tcMar>
              <w:top w:w="30" w:type="dxa"/>
              <w:bottom w:w="30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Timestamp Cet</w:t>
            </w:r>
          </w:p>
        </w:tc>
        <w:tc>
          <w:tcPr>
            <w:tcW w:type="dxa" w:w="1247"/>
            <w:shd w:val="clear" w:color="auto" w:fill="0F2A4A"/>
            <w:tcMar>
              <w:top w:w="30" w:type="dxa"/>
              <w:bottom w:w="30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User Id</w:t>
            </w:r>
          </w:p>
        </w:tc>
        <w:tc>
          <w:tcPr>
            <w:tcW w:type="dxa" w:w="1247"/>
            <w:shd w:val="clear" w:color="auto" w:fill="0F2A4A"/>
            <w:tcMar>
              <w:top w:w="30" w:type="dxa"/>
              <w:bottom w:w="30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User Status</w:t>
            </w:r>
          </w:p>
        </w:tc>
        <w:tc>
          <w:tcPr>
            <w:tcW w:type="dxa" w:w="1020"/>
            <w:shd w:val="clear" w:color="auto" w:fill="0F2A4A"/>
            <w:tcMar>
              <w:top w:w="30" w:type="dxa"/>
              <w:bottom w:w="30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Source System</w:t>
            </w:r>
          </w:p>
        </w:tc>
        <w:tc>
          <w:tcPr>
            <w:tcW w:type="dxa" w:w="1134"/>
            <w:shd w:val="clear" w:color="auto" w:fill="0F2A4A"/>
            <w:tcMar>
              <w:top w:w="30" w:type="dxa"/>
              <w:bottom w:w="30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Auth Method</w:t>
            </w:r>
          </w:p>
        </w:tc>
        <w:tc>
          <w:tcPr>
            <w:tcW w:type="dxa" w:w="1134"/>
            <w:shd w:val="clear" w:color="auto" w:fill="0F2A4A"/>
            <w:tcMar>
              <w:top w:w="30" w:type="dxa"/>
              <w:bottom w:w="30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Workstation Id</w:t>
            </w:r>
          </w:p>
        </w:tc>
        <w:tc>
          <w:tcPr>
            <w:tcW w:type="dxa" w:w="907"/>
            <w:shd w:val="clear" w:color="auto" w:fill="0F2A4A"/>
            <w:tcMar>
              <w:top w:w="30" w:type="dxa"/>
              <w:bottom w:w="30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Badge Scan Present</w:t>
            </w:r>
          </w:p>
        </w:tc>
        <w:tc>
          <w:tcPr>
            <w:tcW w:type="dxa" w:w="907"/>
            <w:shd w:val="clear" w:color="auto" w:fill="0F2A4A"/>
            <w:tcMar>
              <w:top w:w="30" w:type="dxa"/>
              <w:bottom w:w="30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Vpn Session Present</w:t>
            </w:r>
          </w:p>
        </w:tc>
        <w:tc>
          <w:tcPr>
            <w:tcW w:type="dxa" w:w="1247"/>
            <w:shd w:val="clear" w:color="auto" w:fill="0F2A4A"/>
            <w:tcMar>
              <w:top w:w="30" w:type="dxa"/>
              <w:bottom w:w="30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Service Actor</w:t>
            </w:r>
          </w:p>
        </w:tc>
        <w:tc>
          <w:tcPr>
            <w:tcW w:type="dxa" w:w="1134"/>
            <w:shd w:val="clear" w:color="auto" w:fill="0F2A4A"/>
            <w:tcMar>
              <w:top w:w="30" w:type="dxa"/>
              <w:bottom w:w="30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Override Flag</w:t>
            </w:r>
          </w:p>
        </w:tc>
        <w:tc>
          <w:tcPr>
            <w:tcW w:type="dxa" w:w="1020"/>
            <w:shd w:val="clear" w:color="auto" w:fill="0F2A4A"/>
            <w:tcMar>
              <w:top w:w="30" w:type="dxa"/>
              <w:bottom w:w="30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Ticket Ref</w:t>
            </w:r>
          </w:p>
        </w:tc>
        <w:tc>
          <w:tcPr>
            <w:tcW w:type="dxa" w:w="1247"/>
            <w:shd w:val="clear" w:color="auto" w:fill="0F2A4A"/>
            <w:tcMar>
              <w:top w:w="30" w:type="dxa"/>
              <w:bottom w:w="30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Ip Address</w:t>
            </w:r>
          </w:p>
        </w:tc>
      </w:tr>
      <w:tr>
        <w:tc>
          <w:tcPr>
            <w:tcW w:type="dxa" w:w="1361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EVT-1013938</w:t>
            </w:r>
          </w:p>
        </w:tc>
        <w:tc>
          <w:tcPr>
            <w:tcW w:type="dxa" w:w="147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2025-11-13T22:41:12+01:00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L.SANDBERG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active</w:t>
            </w:r>
          </w:p>
        </w:tc>
        <w:tc>
          <w:tcPr>
            <w:tcW w:type="dxa" w:w="1020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okta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mfa_totp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WKS-4821</w:t>
            </w:r>
          </w:p>
        </w:tc>
        <w:tc>
          <w:tcPr>
            <w:tcW w:type="dxa" w:w="90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true</w:t>
            </w:r>
          </w:p>
        </w:tc>
        <w:tc>
          <w:tcPr>
            <w:tcW w:type="dxa" w:w="90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true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020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10.24.11.44</w:t>
            </w:r>
          </w:p>
        </w:tc>
      </w:tr>
      <w:tr>
        <w:tc>
          <w:tcPr>
            <w:tcW w:type="dxa" w:w="1361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EVT-1013939</w:t>
            </w:r>
          </w:p>
        </w:tc>
        <w:tc>
          <w:tcPr>
            <w:tcW w:type="dxa" w:w="147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2025-11-13T23:02:08+01:00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K.HANSEN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active</w:t>
            </w:r>
          </w:p>
        </w:tc>
        <w:tc>
          <w:tcPr>
            <w:tcW w:type="dxa" w:w="1020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okta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mfa_totp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WKS-5117</w:t>
            </w:r>
          </w:p>
        </w:tc>
        <w:tc>
          <w:tcPr>
            <w:tcW w:type="dxa" w:w="90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true</w:t>
            </w:r>
          </w:p>
        </w:tc>
        <w:tc>
          <w:tcPr>
            <w:tcW w:type="dxa" w:w="90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true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020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10.24.11.71</w:t>
            </w:r>
          </w:p>
        </w:tc>
      </w:tr>
      <w:tr>
        <w:tc>
          <w:tcPr>
            <w:tcW w:type="dxa" w:w="1361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EVT-1013940</w:t>
            </w:r>
          </w:p>
        </w:tc>
        <w:tc>
          <w:tcPr>
            <w:tcW w:type="dxa" w:w="147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2025-11-13T23:14:55+01:00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H.MOLIN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active</w:t>
            </w:r>
          </w:p>
        </w:tc>
        <w:tc>
          <w:tcPr>
            <w:tcW w:type="dxa" w:w="1020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okta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mfa_totp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WKS-4901</w:t>
            </w:r>
          </w:p>
        </w:tc>
        <w:tc>
          <w:tcPr>
            <w:tcW w:type="dxa" w:w="90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true</w:t>
            </w:r>
          </w:p>
        </w:tc>
        <w:tc>
          <w:tcPr>
            <w:tcW w:type="dxa" w:w="90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true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020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10.24.12.03</w:t>
            </w:r>
          </w:p>
        </w:tc>
      </w:tr>
      <w:tr>
        <w:tc>
          <w:tcPr>
            <w:tcW w:type="dxa" w:w="1361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  <w:tcBorders>
              <w:left w:val="single" w:sz="24" w:space="0" w:color="B8860B"/>
            </w:tcBorders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EVT-1013941</w:t>
            </w:r>
          </w:p>
        </w:tc>
        <w:tc>
          <w:tcPr>
            <w:tcW w:type="dxa" w:w="147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2025-11-14T00:03:41+01:00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SVC-BACKUP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service</w:t>
            </w:r>
          </w:p>
        </w:tc>
        <w:tc>
          <w:tcPr>
            <w:tcW w:type="dxa" w:w="1020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okta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cert_bound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VM-BKP-02</w:t>
            </w:r>
          </w:p>
        </w:tc>
        <w:tc>
          <w:tcPr>
            <w:tcW w:type="dxa" w:w="90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90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SVC-BACKUP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scheduled</w:t>
            </w:r>
          </w:p>
        </w:tc>
        <w:tc>
          <w:tcPr>
            <w:tcW w:type="dxa" w:w="1020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TCK-88214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10.24.20.14</w:t>
            </w:r>
          </w:p>
        </w:tc>
      </w:tr>
      <w:tr>
        <w:tc>
          <w:tcPr>
            <w:tcW w:type="dxa" w:w="1361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  <w:tcBorders>
              <w:left w:val="single" w:sz="24" w:space="0" w:color="B8860B"/>
            </w:tcBorders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EVT-1013942</w:t>
            </w:r>
          </w:p>
        </w:tc>
        <w:tc>
          <w:tcPr>
            <w:tcW w:type="dxa" w:w="147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2025-11-14T01:12:19+01:00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SVC-BACKUP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service</w:t>
            </w:r>
          </w:p>
        </w:tc>
        <w:tc>
          <w:tcPr>
            <w:tcW w:type="dxa" w:w="1020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okta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cert_bound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VM-BKP-02</w:t>
            </w:r>
          </w:p>
        </w:tc>
        <w:tc>
          <w:tcPr>
            <w:tcW w:type="dxa" w:w="90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90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SVC-BACKUP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scheduled</w:t>
            </w:r>
          </w:p>
        </w:tc>
        <w:tc>
          <w:tcPr>
            <w:tcW w:type="dxa" w:w="1020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TCK-88214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10.24.20.14</w:t>
            </w:r>
          </w:p>
        </w:tc>
      </w:tr>
      <w:tr>
        <w:tc>
          <w:tcPr>
            <w:tcW w:type="dxa" w:w="1361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EVT-1013943</w:t>
            </w:r>
          </w:p>
        </w:tc>
        <w:tc>
          <w:tcPr>
            <w:tcW w:type="dxa" w:w="147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2025-11-14T02:05:34+01:00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M.OHLIN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active</w:t>
            </w:r>
          </w:p>
        </w:tc>
        <w:tc>
          <w:tcPr>
            <w:tcW w:type="dxa" w:w="1020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okta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mfa_totp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WKS-4488</w:t>
            </w:r>
          </w:p>
        </w:tc>
        <w:tc>
          <w:tcPr>
            <w:tcW w:type="dxa" w:w="90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true</w:t>
            </w:r>
          </w:p>
        </w:tc>
        <w:tc>
          <w:tcPr>
            <w:tcW w:type="dxa" w:w="90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true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020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10.24.11.88</w:t>
            </w:r>
          </w:p>
        </w:tc>
      </w:tr>
      <w:tr>
        <w:tc>
          <w:tcPr>
            <w:tcW w:type="dxa" w:w="1361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  <w:tcBorders>
              <w:left w:val="single" w:sz="24" w:space="0" w:color="B8860B"/>
            </w:tcBorders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EVT-1013944</w:t>
            </w:r>
          </w:p>
        </w:tc>
        <w:tc>
          <w:tcPr>
            <w:tcW w:type="dxa" w:w="147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2025-11-14T02:41:07+01:00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SVC-MONITOR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service</w:t>
            </w:r>
          </w:p>
        </w:tc>
        <w:tc>
          <w:tcPr>
            <w:tcW w:type="dxa" w:w="1020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okta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cert_bound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VM-MON-01</w:t>
            </w:r>
          </w:p>
        </w:tc>
        <w:tc>
          <w:tcPr>
            <w:tcW w:type="dxa" w:w="90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90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SVC-MONITOR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scheduled</w:t>
            </w:r>
          </w:p>
        </w:tc>
        <w:tc>
          <w:tcPr>
            <w:tcW w:type="dxa" w:w="1020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TCK-88215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10.24.20.17</w:t>
            </w:r>
          </w:p>
        </w:tc>
      </w:tr>
      <w:tr>
        <w:tc>
          <w:tcPr>
            <w:tcW w:type="dxa" w:w="1361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  <w:tcBorders>
              <w:left w:val="single" w:sz="24" w:space="0" w:color="B8860B"/>
            </w:tcBorders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EVT-1013945</w:t>
            </w:r>
          </w:p>
        </w:tc>
        <w:tc>
          <w:tcPr>
            <w:tcW w:type="dxa" w:w="147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2025-11-14T03:02:11+01:00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SVC-MONITOR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service</w:t>
            </w:r>
          </w:p>
        </w:tc>
        <w:tc>
          <w:tcPr>
            <w:tcW w:type="dxa" w:w="1020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okta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cert_bound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VM-MON-01</w:t>
            </w:r>
          </w:p>
        </w:tc>
        <w:tc>
          <w:tcPr>
            <w:tcW w:type="dxa" w:w="90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90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SVC-MONITOR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scheduled</w:t>
            </w:r>
          </w:p>
        </w:tc>
        <w:tc>
          <w:tcPr>
            <w:tcW w:type="dxa" w:w="1020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TCK-88215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10.24.20.17</w:t>
            </w:r>
          </w:p>
        </w:tc>
      </w:tr>
      <w:tr>
        <w:tc>
          <w:tcPr>
            <w:tcW w:type="dxa" w:w="1361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  <w:tcBorders>
              <w:left w:val="single" w:sz="24" w:space="0" w:color="B8860B"/>
            </w:tcBorders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EVT-1013946</w:t>
            </w:r>
          </w:p>
        </w:tc>
        <w:tc>
          <w:tcPr>
            <w:tcW w:type="dxa" w:w="147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2025-11-14T03:11:52+01:00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SVC-IAM-01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service</w:t>
            </w:r>
          </w:p>
        </w:tc>
        <w:tc>
          <w:tcPr>
            <w:tcW w:type="dxa" w:w="1020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okta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cert_bound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VM-IAM-01</w:t>
            </w:r>
          </w:p>
        </w:tc>
        <w:tc>
          <w:tcPr>
            <w:tcW w:type="dxa" w:w="90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90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SVC-IAM-01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routine</w:t>
            </w:r>
          </w:p>
        </w:tc>
        <w:tc>
          <w:tcPr>
            <w:tcW w:type="dxa" w:w="1020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TCK-88220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10.24.20.19</w:t>
            </w:r>
          </w:p>
        </w:tc>
      </w:tr>
      <w:tr>
        <w:tc>
          <w:tcPr>
            <w:tcW w:type="dxa" w:w="1361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BE9E7"/>
            <w:tcBorders>
              <w:left w:val="single" w:sz="24" w:space="0" w:color="8B1E1E"/>
            </w:tcBorders>
          </w:tcPr>
          <w:p>
            <w:r>
              <w:rPr>
                <w:rFonts w:ascii="Calibri" w:hAnsi="Calibri"/>
                <w:b/>
                <w:i w:val="0"/>
                <w:color w:val="8B1E1E"/>
                <w:sz w:val="14"/>
              </w:rPr>
              <w:t>EVT-1013947</w:t>
            </w:r>
          </w:p>
        </w:tc>
        <w:tc>
          <w:tcPr>
            <w:tcW w:type="dxa" w:w="147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BE9E7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2025-11-14T03:17:44+01:00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BE9E7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J.EKSTROM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BE9E7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departed_2024</w:t>
            </w:r>
          </w:p>
        </w:tc>
        <w:tc>
          <w:tcPr>
            <w:tcW w:type="dxa" w:w="1020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BE9E7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okta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BE9E7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admin_override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BE9E7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VM-IAM-01</w:t>
            </w:r>
          </w:p>
        </w:tc>
        <w:tc>
          <w:tcPr>
            <w:tcW w:type="dxa" w:w="90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BE9E7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false</w:t>
            </w:r>
          </w:p>
        </w:tc>
        <w:tc>
          <w:tcPr>
            <w:tcW w:type="dxa" w:w="90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BE9E7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false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BE9E7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SVC-IAM-01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BE9E7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admin_override</w:t>
            </w:r>
          </w:p>
        </w:tc>
        <w:tc>
          <w:tcPr>
            <w:tcW w:type="dxa" w:w="1020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BE9E7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BE9E7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10.24.20.19</w:t>
            </w:r>
          </w:p>
        </w:tc>
      </w:tr>
      <w:tr>
        <w:tc>
          <w:tcPr>
            <w:tcW w:type="dxa" w:w="1361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  <w:tcBorders>
              <w:left w:val="single" w:sz="24" w:space="0" w:color="B8860B"/>
            </w:tcBorders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EVT-1013948</w:t>
            </w:r>
          </w:p>
        </w:tc>
        <w:tc>
          <w:tcPr>
            <w:tcW w:type="dxa" w:w="147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2025-11-14T03:18:12+01:00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SVC-IAM-01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service</w:t>
            </w:r>
          </w:p>
        </w:tc>
        <w:tc>
          <w:tcPr>
            <w:tcW w:type="dxa" w:w="1020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okta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cert_bound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VM-IAM-01</w:t>
            </w:r>
          </w:p>
        </w:tc>
        <w:tc>
          <w:tcPr>
            <w:tcW w:type="dxa" w:w="90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90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SVC-IAM-01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routine</w:t>
            </w:r>
          </w:p>
        </w:tc>
        <w:tc>
          <w:tcPr>
            <w:tcW w:type="dxa" w:w="1020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TCK-88220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10.24.20.19</w:t>
            </w:r>
          </w:p>
        </w:tc>
      </w:tr>
      <w:tr>
        <w:tc>
          <w:tcPr>
            <w:tcW w:type="dxa" w:w="1361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  <w:tcBorders>
              <w:left w:val="single" w:sz="24" w:space="0" w:color="B8860B"/>
            </w:tcBorders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EVT-1013949</w:t>
            </w:r>
          </w:p>
        </w:tc>
        <w:tc>
          <w:tcPr>
            <w:tcW w:type="dxa" w:w="147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2025-11-14T03:41:03+01:00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SVC-BACKUP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service</w:t>
            </w:r>
          </w:p>
        </w:tc>
        <w:tc>
          <w:tcPr>
            <w:tcW w:type="dxa" w:w="1020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okta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cert_bound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VM-BKP-02</w:t>
            </w:r>
          </w:p>
        </w:tc>
        <w:tc>
          <w:tcPr>
            <w:tcW w:type="dxa" w:w="90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90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SVC-BACKUP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scheduled</w:t>
            </w:r>
          </w:p>
        </w:tc>
        <w:tc>
          <w:tcPr>
            <w:tcW w:type="dxa" w:w="1020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TCK-88214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FFF6DA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10.24.20.14</w:t>
            </w:r>
          </w:p>
        </w:tc>
      </w:tr>
      <w:tr>
        <w:tc>
          <w:tcPr>
            <w:tcW w:type="dxa" w:w="1361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EVT-1013950</w:t>
            </w:r>
          </w:p>
        </w:tc>
        <w:tc>
          <w:tcPr>
            <w:tcW w:type="dxa" w:w="147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2025-11-14T05:22:18+01:00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K.LINDQVIST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active</w:t>
            </w:r>
          </w:p>
        </w:tc>
        <w:tc>
          <w:tcPr>
            <w:tcW w:type="dxa" w:w="1020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okta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mfa_totp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WKS-4312</w:t>
            </w:r>
          </w:p>
        </w:tc>
        <w:tc>
          <w:tcPr>
            <w:tcW w:type="dxa" w:w="90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true</w:t>
            </w:r>
          </w:p>
        </w:tc>
        <w:tc>
          <w:tcPr>
            <w:tcW w:type="dxa" w:w="90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true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020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10.24.11.55</w:t>
            </w:r>
          </w:p>
        </w:tc>
      </w:tr>
      <w:tr>
        <w:tc>
          <w:tcPr>
            <w:tcW w:type="dxa" w:w="1361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EVT-1013951</w:t>
            </w:r>
          </w:p>
        </w:tc>
        <w:tc>
          <w:tcPr>
            <w:tcW w:type="dxa" w:w="147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2025-11-14T06:41:52+01:00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H.MOLIN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active</w:t>
            </w:r>
          </w:p>
        </w:tc>
        <w:tc>
          <w:tcPr>
            <w:tcW w:type="dxa" w:w="1020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okta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mfa_totp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WKS-4901</w:t>
            </w:r>
          </w:p>
        </w:tc>
        <w:tc>
          <w:tcPr>
            <w:tcW w:type="dxa" w:w="90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true</w:t>
            </w:r>
          </w:p>
        </w:tc>
        <w:tc>
          <w:tcPr>
            <w:tcW w:type="dxa" w:w="90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true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020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10.24.12.03</w:t>
            </w:r>
          </w:p>
        </w:tc>
      </w:tr>
      <w:tr>
        <w:tc>
          <w:tcPr>
            <w:tcW w:type="dxa" w:w="1361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EVT-1013952</w:t>
            </w:r>
          </w:p>
        </w:tc>
        <w:tc>
          <w:tcPr>
            <w:tcW w:type="dxa" w:w="147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2025-11-14T07:04:11+01:00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L.SANDBERG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active</w:t>
            </w:r>
          </w:p>
        </w:tc>
        <w:tc>
          <w:tcPr>
            <w:tcW w:type="dxa" w:w="1020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okta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mfa_totp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WKS-4821</w:t>
            </w:r>
          </w:p>
        </w:tc>
        <w:tc>
          <w:tcPr>
            <w:tcW w:type="dxa" w:w="90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true</w:t>
            </w:r>
          </w:p>
        </w:tc>
        <w:tc>
          <w:tcPr>
            <w:tcW w:type="dxa" w:w="90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true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020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10.24.11.44</w:t>
            </w:r>
          </w:p>
        </w:tc>
      </w:tr>
      <w:tr>
        <w:tc>
          <w:tcPr>
            <w:tcW w:type="dxa" w:w="1361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EVT-1013953</w:t>
            </w:r>
          </w:p>
        </w:tc>
        <w:tc>
          <w:tcPr>
            <w:tcW w:type="dxa" w:w="147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2025-11-14T07:22:45+01:00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K.HANSEN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active</w:t>
            </w:r>
          </w:p>
        </w:tc>
        <w:tc>
          <w:tcPr>
            <w:tcW w:type="dxa" w:w="1020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okta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mfa_totp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WKS-5117</w:t>
            </w:r>
          </w:p>
        </w:tc>
        <w:tc>
          <w:tcPr>
            <w:tcW w:type="dxa" w:w="90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true</w:t>
            </w:r>
          </w:p>
        </w:tc>
        <w:tc>
          <w:tcPr>
            <w:tcW w:type="dxa" w:w="90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true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020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10.24.11.71</w:t>
            </w:r>
          </w:p>
        </w:tc>
      </w:tr>
      <w:tr>
        <w:tc>
          <w:tcPr>
            <w:tcW w:type="dxa" w:w="1361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EVT-1013954</w:t>
            </w:r>
          </w:p>
        </w:tc>
        <w:tc>
          <w:tcPr>
            <w:tcW w:type="dxa" w:w="147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2025-11-14T07:41:33+01:00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A.PALMBERG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active</w:t>
            </w:r>
          </w:p>
        </w:tc>
        <w:tc>
          <w:tcPr>
            <w:tcW w:type="dxa" w:w="1020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okta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mfa_totp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WKS-4711</w:t>
            </w:r>
          </w:p>
        </w:tc>
        <w:tc>
          <w:tcPr>
            <w:tcW w:type="dxa" w:w="90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true</w:t>
            </w:r>
          </w:p>
        </w:tc>
        <w:tc>
          <w:tcPr>
            <w:tcW w:type="dxa" w:w="90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true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020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10.24.11.62</w:t>
            </w:r>
          </w:p>
        </w:tc>
      </w:tr>
      <w:tr>
        <w:tc>
          <w:tcPr>
            <w:tcW w:type="dxa" w:w="1361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EVT-1013955</w:t>
            </w:r>
          </w:p>
        </w:tc>
        <w:tc>
          <w:tcPr>
            <w:tcW w:type="dxa" w:w="147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2025-11-14T08:02:14+01:00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M.OHLIN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active</w:t>
            </w:r>
          </w:p>
        </w:tc>
        <w:tc>
          <w:tcPr>
            <w:tcW w:type="dxa" w:w="1020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okta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mfa_totp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WKS-4488</w:t>
            </w:r>
          </w:p>
        </w:tc>
        <w:tc>
          <w:tcPr>
            <w:tcW w:type="dxa" w:w="90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true</w:t>
            </w:r>
          </w:p>
        </w:tc>
        <w:tc>
          <w:tcPr>
            <w:tcW w:type="dxa" w:w="90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true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020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10.24.11.88</w:t>
            </w:r>
          </w:p>
        </w:tc>
      </w:tr>
      <w:tr>
        <w:tc>
          <w:tcPr>
            <w:tcW w:type="dxa" w:w="1361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EVT-1013956</w:t>
            </w:r>
          </w:p>
        </w:tc>
        <w:tc>
          <w:tcPr>
            <w:tcW w:type="dxa" w:w="147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2025-11-14T08:14:07+01:00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P.NILSSON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active</w:t>
            </w:r>
          </w:p>
        </w:tc>
        <w:tc>
          <w:tcPr>
            <w:tcW w:type="dxa" w:w="1020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okta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mfa_totp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WKS-4501</w:t>
            </w:r>
          </w:p>
        </w:tc>
        <w:tc>
          <w:tcPr>
            <w:tcW w:type="dxa" w:w="90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true</w:t>
            </w:r>
          </w:p>
        </w:tc>
        <w:tc>
          <w:tcPr>
            <w:tcW w:type="dxa" w:w="90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true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020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10.24.11.33</w:t>
            </w:r>
          </w:p>
        </w:tc>
      </w:tr>
      <w:tr>
        <w:tc>
          <w:tcPr>
            <w:tcW w:type="dxa" w:w="1361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EVT-1013957</w:t>
            </w:r>
          </w:p>
        </w:tc>
        <w:tc>
          <w:tcPr>
            <w:tcW w:type="dxa" w:w="147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2025-11-14T08:22:41+01:00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F.WALLIN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active</w:t>
            </w:r>
          </w:p>
        </w:tc>
        <w:tc>
          <w:tcPr>
            <w:tcW w:type="dxa" w:w="1020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okta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mfa_totp</w:t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WKS-4602</w:t>
            </w:r>
          </w:p>
        </w:tc>
        <w:tc>
          <w:tcPr>
            <w:tcW w:type="dxa" w:w="90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true</w:t>
            </w:r>
          </w:p>
        </w:tc>
        <w:tc>
          <w:tcPr>
            <w:tcW w:type="dxa" w:w="90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true</w:t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134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020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</w:r>
          </w:p>
        </w:tc>
        <w:tc>
          <w:tcPr>
            <w:tcW w:type="dxa" w:w="1247"/>
            <w:tcMar>
              <w:top w:w="26" w:type="dxa"/>
              <w:bottom w:w="26" w:type="dxa"/>
              <w:start w:w="50" w:type="dxa"/>
              <w:end w:w="50" w:type="dxa"/>
            </w:tcMar>
            <w:vAlign w:val="center"/>
            <w:shd w:val="clear" w:color="auto" w:fill="EEF1F5"/>
          </w:tcPr>
          <w:p>
            <w:r>
              <w:rPr>
                <w:rFonts w:ascii="Calibri" w:hAnsi="Calibri"/>
                <w:b w:val="0"/>
                <w:i w:val="0"/>
                <w:sz w:val="14"/>
              </w:rPr>
              <w:t>10.24.11.22</w:t>
            </w:r>
          </w:p>
        </w:tc>
      </w:tr>
    </w:tbl>
    <w:p>
      <w:r>
        <w:br w:type="page"/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0F2A4A"/>
          <w:sz w:val="30"/>
        </w:rPr>
        <w:t>4. Method, Set-Asides &amp; Open Questions</w:t>
      </w:r>
    </w:p>
    <w:p>
      <w:pPr>
        <w:pBdr>
          <w:bottom w:val="single" w:sz="8" w:space="1" w:color="C9D3DE"/>
        </w:pBdr>
        <w:spacing w:after="80"/>
      </w:pPr>
    </w:p>
    <w:p>
      <w:pPr>
        <w:keepNext/>
        <w:spacing w:before="120" w:after="80"/>
      </w:pPr>
      <w:r>
        <w:rPr>
          <w:rFonts w:ascii="Calibri" w:hAnsi="Calibri"/>
          <w:b/>
          <w:i w:val="0"/>
          <w:color w:val="274C77"/>
          <w:sz w:val="23"/>
        </w:rPr>
        <w:t>4.1 Cross-check method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0"/>
        </w:rPr>
        <w:t>Each Okta event is joined to badge_access_records (physical presence) and vpn_session_logs (authenticated remote presence) on user and timestamp. Service actors are validated against the change-ticket register. The join either produces a live-human anchor or it does not.</w:t>
      </w:r>
    </w:p>
    <w:p>
      <w:pPr>
        <w:keepNext/>
        <w:spacing w:before="120" w:after="80"/>
      </w:pPr>
      <w:r>
        <w:rPr>
          <w:rFonts w:ascii="Calibri" w:hAnsi="Calibri"/>
          <w:b/>
          <w:i w:val="0"/>
          <w:color w:val="274C77"/>
          <w:sz w:val="23"/>
        </w:rPr>
        <w:t>4.2 Set-aside notes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0"/>
        </w:rPr>
        <w:t>• This excerpt is illustrative; the 18-month log governs the chronology.  • Service-actor events are retained as context, not as human activity.  • The override event is quarantined pending IAM forensic imaging of VM-IAM-01.</w:t>
      </w:r>
    </w:p>
    <w:p>
      <w:pPr>
        <w:keepNext/>
        <w:spacing w:before="120" w:after="80"/>
      </w:pPr>
      <w:r>
        <w:rPr>
          <w:rFonts w:ascii="Calibri" w:hAnsi="Calibri"/>
          <w:b/>
          <w:i w:val="0"/>
          <w:color w:val="274C77"/>
          <w:sz w:val="23"/>
        </w:rPr>
        <w:t>4.3 Judgment rule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sz w:val="20"/>
        </w:rPr>
        <w:t>Where two sources disagree, the more recent and more authoritative governs and the stale one is named in the set-aside notes; where an event cannot be tied to a live human it is left open in the ledger rather than asserted.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026"/>
      </w:tblGrid>
      <w:tr>
        <w:tc>
          <w:tcPr>
            <w:tcW w:type="dxa" w:w="14026"/>
            <w:shd w:val="clear" w:color="auto" w:fill="EEF1F5"/>
            <w:tcBorders>
              <w:left w:val="single" w:sz="24" w:space="0" w:color="274C77"/>
            </w:tcBorders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0F2A4A"/>
                <w:sz w:val="20"/>
              </w:rPr>
              <w:t>OPEN QUESTIONS LEDGER (unanchored → escalate)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• EVT-1013947 J.EKSTROM admin_override on VM-IAM-01 — no badge, no VPN, departed 2024.  • Whether SVC-IAM-01 credentials were used to mint the override session.  • L.SANDBERG / K.LINDQVIST insider-to-vendor UBO confirmations.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247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alibri" w:hAnsi="Calibri"/>
        <w:b w:val="0"/>
        <w:i w:val="0"/>
        <w:color w:val="555555"/>
        <w:sz w:val="14"/>
      </w:rPr>
      <w:t>CONFIDENTIAL — PRIVILEGED &amp; PREPARED IN ANTICIPATION OF LITIGATION</w:t>
    </w:r>
    <w:r>
      <w:tab/>
    </w:r>
    <w:r>
      <w:rPr>
        <w:rFonts w:ascii="Calibri" w:hAnsi="Calibri"/>
        <w:b/>
        <w:i w:val="0"/>
        <w:color w:val="8B1E1E"/>
        <w:sz w:val="14"/>
      </w:rPr>
      <w:t>WORKING PAPER — DISTRACTOR/SEED EXTRACT</w:t>
    </w:r>
    <w:r>
      <w:tab/>
    </w:r>
    <w:r>
      <w:rPr>
        <w:color w:val="555555"/>
        <w:sz w:val="1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12" w:space="1" w:color="B8860B"/>
      </w:pBdr>
    </w:pPr>
    <w:r/>
    <w:r>
      <w:rPr>
        <w:rFonts w:ascii="Calibri" w:hAnsi="Calibri"/>
        <w:b/>
        <w:i w:val="0"/>
        <w:color w:val="0F2A4A"/>
        <w:sz w:val="15"/>
      </w:rPr>
      <w:t>VINTERBERG GROUP INVESTIGATION</w:t>
    </w:r>
    <w:r>
      <w:tab/>
      <w:tab/>
    </w:r>
    <w:r>
      <w:rPr>
        <w:rFonts w:ascii="Calibri" w:hAnsi="Calibri"/>
        <w:b w:val="0"/>
        <w:i w:val="0"/>
        <w:color w:val="274C77"/>
        <w:sz w:val="15"/>
      </w:rPr>
      <w:t>Access-Log Forensic Chronology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