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Herrera Creative Management</w:t>
      </w:r>
    </w:p>
    <w:p>
      <w:r>
        <w:t>Confidential</w:t>
      </w:r>
    </w:p>
    <w:p/>
    <w:p>
      <w:pPr>
        <w:pStyle w:val="Heading2"/>
      </w:pPr>
      <w:r>
        <w:t>Jesse Page, Food Photography Rate Card, 2026 Fall Cycle</w:t>
      </w:r>
    </w:p>
    <w:p>
      <w:r>
        <w:t>Author: Tomas Herrera, Founder, Herrera Creative Management. tomas@gmail.com / (212) 555-0178.</w:t>
      </w:r>
    </w:p>
    <w:p>
      <w:r>
        <w:t>Effective: 2026 Q3-Q4 cycle.</w:t>
      </w:r>
    </w:p>
    <w:p/>
    <w:p>
      <w:pPr>
        <w:pStyle w:val="Heading2"/>
      </w:pPr>
      <w:r>
        <w:t>Rate bands</w:t>
      </w:r>
    </w:p>
    <w:tbl>
      <w:tblPr>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Half-day</w:t>
            </w:r>
          </w:p>
        </w:tc>
        <w:tc>
          <w:tcPr>
            <w:tcW w:type="dxa" w:w="2160"/>
          </w:tcPr>
          <w:p>
            <w:r>
              <w:t>Day</w:t>
            </w:r>
          </w:p>
        </w:tc>
        <w:tc>
          <w:tcPr>
            <w:tcW w:type="dxa" w:w="2160"/>
          </w:tcPr>
          <w:p>
            <w:r>
              <w:t>Notes</w:t>
            </w:r>
          </w:p>
        </w:tc>
      </w:tr>
      <w:tr>
        <w:tc>
          <w:tcPr>
            <w:tcW w:type="dxa" w:w="2160"/>
          </w:tcPr>
          <w:p>
            <w:r>
              <w:t>Editorial standard</w:t>
            </w:r>
          </w:p>
        </w:tc>
        <w:tc>
          <w:tcPr>
            <w:tcW w:type="dxa" w:w="2160"/>
          </w:tcPr>
          <w:p>
            <w:r>
              <w:t>$1,200</w:t>
            </w:r>
          </w:p>
        </w:tc>
        <w:tc>
          <w:tcPr>
            <w:tcW w:type="dxa" w:w="2160"/>
          </w:tcPr>
          <w:p>
            <w:r>
              <w:t>$1,800 day</w:t>
            </w:r>
          </w:p>
        </w:tc>
        <w:tc>
          <w:tcPr>
            <w:tcW w:type="dxa" w:w="2160"/>
          </w:tcPr>
          <w:p>
            <w:r>
              <w:t>Magazine, newspaper, blog editorial</w:t>
            </w:r>
          </w:p>
        </w:tc>
      </w:tr>
      <w:tr>
        <w:tc>
          <w:tcPr>
            <w:tcW w:type="dxa" w:w="2160"/>
          </w:tcPr>
          <w:p>
            <w:r>
              <w:t>Editorial premium</w:t>
            </w:r>
          </w:p>
        </w:tc>
        <w:tc>
          <w:tcPr>
            <w:tcW w:type="dxa" w:w="2160"/>
          </w:tcPr>
          <w:p>
            <w:r>
              <w:t>$1,500</w:t>
            </w:r>
          </w:p>
        </w:tc>
        <w:tc>
          <w:tcPr>
            <w:tcW w:type="dxa" w:w="2160"/>
          </w:tcPr>
          <w:p>
            <w:r>
              <w:t>$2,200 day</w:t>
            </w:r>
          </w:p>
        </w:tc>
        <w:tc>
          <w:tcPr>
            <w:tcW w:type="dxa" w:w="2160"/>
          </w:tcPr>
          <w:p>
            <w:r>
              <w:t>Cover features, masthead-tier publications</w:t>
            </w:r>
          </w:p>
        </w:tc>
      </w:tr>
      <w:tr>
        <w:tc>
          <w:tcPr>
            <w:tcW w:type="dxa" w:w="2160"/>
          </w:tcPr>
          <w:p>
            <w:r>
              <w:t>Restaurant menu</w:t>
            </w:r>
          </w:p>
        </w:tc>
        <w:tc>
          <w:tcPr>
            <w:tcW w:type="dxa" w:w="2160"/>
          </w:tcPr>
          <w:p>
            <w:r>
              <w:t>$1,200-$1,500</w:t>
            </w:r>
          </w:p>
        </w:tc>
        <w:tc>
          <w:tcPr>
            <w:tcW w:type="dxa" w:w="2160"/>
          </w:tcPr>
          <w:p>
            <w:r>
              <w:t>$2,000-$2,800 day</w:t>
            </w:r>
          </w:p>
        </w:tc>
        <w:tc>
          <w:tcPr>
            <w:tcW w:type="dxa" w:w="2160"/>
          </w:tcPr>
          <w:p>
            <w:r>
              <w:t>Working kitchen, food on plate</w:t>
            </w:r>
          </w:p>
        </w:tc>
      </w:tr>
      <w:tr>
        <w:tc>
          <w:tcPr>
            <w:tcW w:type="dxa" w:w="2160"/>
          </w:tcPr>
          <w:p>
            <w:r>
              <w:t>Brand short-form</w:t>
            </w:r>
          </w:p>
        </w:tc>
        <w:tc>
          <w:tcPr>
            <w:tcW w:type="dxa" w:w="2160"/>
          </w:tcPr>
          <w:p>
            <w:r>
              <w:t>$500-$3,000</w:t>
            </w:r>
          </w:p>
        </w:tc>
        <w:tc>
          <w:tcPr>
            <w:tcW w:type="dxa" w:w="2160"/>
          </w:tcPr>
          <w:p>
            <w:r>
              <w:t>n/a</w:t>
            </w:r>
          </w:p>
        </w:tc>
        <w:tc>
          <w:tcPr>
            <w:tcW w:type="dxa" w:w="2160"/>
          </w:tcPr>
          <w:p>
            <w:r>
              <w:t>Per deliverable; depends on usage tier</w:t>
            </w:r>
          </w:p>
        </w:tc>
      </w:tr>
      <w:tr>
        <w:tc>
          <w:tcPr>
            <w:tcW w:type="dxa" w:w="2160"/>
          </w:tcPr>
          <w:p>
            <w:r>
              <w:t>Brand long-form</w:t>
            </w:r>
          </w:p>
        </w:tc>
        <w:tc>
          <w:tcPr>
            <w:tcW w:type="dxa" w:w="2160"/>
          </w:tcPr>
          <w:p>
            <w:r>
              <w:t>n/a</w:t>
            </w:r>
          </w:p>
        </w:tc>
        <w:tc>
          <w:tcPr>
            <w:tcW w:type="dxa" w:w="2160"/>
          </w:tcPr>
          <w:p>
            <w:r>
              <w:t>$3,500-$8,000 day</w:t>
            </w:r>
          </w:p>
        </w:tc>
        <w:tc>
          <w:tcPr>
            <w:tcW w:type="dxa" w:w="2160"/>
          </w:tcPr>
          <w:p>
            <w:r>
              <w:t>Campaign, day-rate plus usage</w:t>
            </w:r>
          </w:p>
        </w:tc>
      </w:tr>
      <w:tr>
        <w:tc>
          <w:tcPr>
            <w:tcW w:type="dxa" w:w="2160"/>
          </w:tcPr>
          <w:p>
            <w:r>
              <w:t>Cookbook tranche</w:t>
            </w:r>
          </w:p>
        </w:tc>
        <w:tc>
          <w:tcPr>
            <w:tcW w:type="dxa" w:w="2160"/>
          </w:tcPr>
          <w:p>
            <w:r>
              <w:t>n/a</w:t>
            </w:r>
          </w:p>
        </w:tc>
        <w:tc>
          <w:tcPr>
            <w:tcW w:type="dxa" w:w="2160"/>
          </w:tcPr>
          <w:p>
            <w:r>
              <w:t>$8,000-$15,000 per tranche</w:t>
            </w:r>
          </w:p>
        </w:tc>
        <w:tc>
          <w:tcPr>
            <w:tcW w:type="dxa" w:w="2160"/>
          </w:tcPr>
          <w:p>
            <w:r>
              <w:t>Publisher tranches, milestone billing</w:t>
            </w:r>
          </w:p>
        </w:tc>
      </w:tr>
      <w:tr>
        <w:tc>
          <w:tcPr>
            <w:tcW w:type="dxa" w:w="2160"/>
          </w:tcPr>
          <w:p>
            <w:r>
              <w:t>Pic-Time license tier 1</w:t>
            </w:r>
          </w:p>
        </w:tc>
        <w:tc>
          <w:tcPr>
            <w:tcW w:type="dxa" w:w="2160"/>
          </w:tcPr>
          <w:p>
            <w:r>
              <w:t>$250</w:t>
            </w:r>
          </w:p>
        </w:tc>
        <w:tc>
          <w:tcPr>
            <w:tcW w:type="dxa" w:w="2160"/>
          </w:tcPr>
          <w:p>
            <w:r>
              <w:t>$500</w:t>
            </w:r>
          </w:p>
        </w:tc>
        <w:tc>
          <w:tcPr>
            <w:tcW w:type="dxa" w:w="2160"/>
          </w:tcPr>
          <w:p>
            <w:r>
              <w:t>Standard print + portfolio use</w:t>
            </w:r>
          </w:p>
        </w:tc>
      </w:tr>
      <w:tr>
        <w:tc>
          <w:tcPr>
            <w:tcW w:type="dxa" w:w="2160"/>
          </w:tcPr>
          <w:p>
            <w:r>
              <w:t>Pic-Time license tier 2</w:t>
            </w:r>
          </w:p>
        </w:tc>
        <w:tc>
          <w:tcPr>
            <w:tcW w:type="dxa" w:w="2160"/>
          </w:tcPr>
          <w:p>
            <w:r>
              <w:t>$500</w:t>
            </w:r>
          </w:p>
        </w:tc>
        <w:tc>
          <w:tcPr>
            <w:tcW w:type="dxa" w:w="2160"/>
          </w:tcPr>
          <w:p>
            <w:r>
              <w:t>$1,200</w:t>
            </w:r>
          </w:p>
        </w:tc>
        <w:tc>
          <w:tcPr>
            <w:tcW w:type="dxa" w:w="2160"/>
          </w:tcPr>
          <w:p>
            <w:r>
              <w:t>Extended commercial use</w:t>
            </w:r>
          </w:p>
        </w:tc>
      </w:tr>
      <w:tr>
        <w:tc>
          <w:tcPr>
            <w:tcW w:type="dxa" w:w="2160"/>
          </w:tcPr>
          <w:p>
            <w:r>
              <w:t>Travel surcharge</w:t>
            </w:r>
          </w:p>
        </w:tc>
        <w:tc>
          <w:tcPr>
            <w:tcW w:type="dxa" w:w="2160"/>
          </w:tcPr>
          <w:p>
            <w:r>
              <w:t>$300/day</w:t>
            </w:r>
          </w:p>
        </w:tc>
        <w:tc>
          <w:tcPr>
            <w:tcW w:type="dxa" w:w="2160"/>
          </w:tcPr>
          <w:p>
            <w:r>
              <w:t>$500/day</w:t>
            </w:r>
          </w:p>
        </w:tc>
        <w:tc>
          <w:tcPr>
            <w:tcW w:type="dxa" w:w="2160"/>
          </w:tcPr>
          <w:p>
            <w:r>
              <w:t>Plus actual transport</w:t>
            </w:r>
          </w:p>
        </w:tc>
      </w:tr>
      <w:tr>
        <w:tc>
          <w:tcPr>
            <w:tcW w:type="dxa" w:w="2160"/>
          </w:tcPr>
          <w:p>
            <w:r>
              <w:t>Rush surcharge</w:t>
            </w:r>
          </w:p>
        </w:tc>
        <w:tc>
          <w:tcPr>
            <w:tcW w:type="dxa" w:w="2160"/>
          </w:tcPr>
          <w:p>
            <w:r>
              <w:t>+25%</w:t>
            </w:r>
          </w:p>
        </w:tc>
        <w:tc>
          <w:tcPr>
            <w:tcW w:type="dxa" w:w="2160"/>
          </w:tcPr>
          <w:p>
            <w:r>
              <w:t>+25%</w:t>
            </w:r>
          </w:p>
        </w:tc>
        <w:tc>
          <w:tcPr>
            <w:tcW w:type="dxa" w:w="2160"/>
          </w:tcPr>
          <w:p>
            <w:r>
              <w:t>Less than 7 days lead</w:t>
            </w:r>
          </w:p>
        </w:tc>
      </w:tr>
      <w:tr>
        <w:tc>
          <w:tcPr>
            <w:tcW w:type="dxa" w:w="2160"/>
          </w:tcPr>
          <w:p>
            <w:r>
              <w:t>Holiday surcharge</w:t>
            </w:r>
          </w:p>
        </w:tc>
        <w:tc>
          <w:tcPr>
            <w:tcW w:type="dxa" w:w="2160"/>
          </w:tcPr>
          <w:p>
            <w:r>
              <w:t>+50%</w:t>
            </w:r>
          </w:p>
        </w:tc>
        <w:tc>
          <w:tcPr>
            <w:tcW w:type="dxa" w:w="2160"/>
          </w:tcPr>
          <w:p>
            <w:r>
              <w:t>+50%</w:t>
            </w:r>
          </w:p>
        </w:tc>
        <w:tc>
          <w:tcPr>
            <w:tcW w:type="dxa" w:w="2160"/>
          </w:tcPr>
          <w:p>
            <w:r>
              <w:t>Federal holidays, Sundays</w:t>
            </w:r>
          </w:p>
        </w:tc>
      </w:tr>
      <w:tr>
        <w:tc>
          <w:tcPr>
            <w:tcW w:type="dxa" w:w="2160"/>
          </w:tcPr>
          <w:p>
            <w:r>
              <w:t>Usage uplift base</w:t>
            </w:r>
          </w:p>
        </w:tc>
        <w:tc>
          <w:tcPr>
            <w:tcW w:type="dxa" w:w="2160"/>
          </w:tcPr>
          <w:p>
            <w:r>
              <w:t>$500</w:t>
            </w:r>
          </w:p>
        </w:tc>
        <w:tc>
          <w:tcPr>
            <w:tcW w:type="dxa" w:w="2160"/>
          </w:tcPr>
          <w:p>
            <w:r>
              <w:t>$1,500</w:t>
            </w:r>
          </w:p>
        </w:tc>
        <w:tc>
          <w:tcPr>
            <w:tcW w:type="dxa" w:w="2160"/>
          </w:tcPr>
          <w:p>
            <w:r>
              <w:t>Adds to base shoot rate; expanded social, OOH, EU</w:t>
            </w:r>
          </w:p>
        </w:tc>
      </w:tr>
    </w:tbl>
    <w:p/>
    <w:p>
      <w:pPr>
        <w:pStyle w:val="Heading2"/>
      </w:pPr>
      <w:r>
        <w:t>Cancellation policy</w:t>
      </w:r>
    </w:p>
    <w:p>
      <w:r>
        <w:t>100% within 7 days of shoot date; 50% 7-14 days; 25% beyond 14 days.</w:t>
      </w:r>
    </w:p>
    <w:p>
      <w:pPr>
        <w:pStyle w:val="Heading2"/>
      </w:pPr>
      <w:r>
        <w:t>Payment terms</w:t>
      </w:r>
    </w:p>
    <w:p>
      <w:r>
        <w:t>50% on signature, 50% on delivery acceptance. Cookbook tranches per milestone schedule in publisher contract.</w:t>
      </w:r>
    </w:p>
    <w:p>
      <w:pPr>
        <w:pStyle w:val="Heading2"/>
      </w:pPr>
      <w:r>
        <w:t>Usage rights</w:t>
      </w:r>
    </w:p>
    <w:p>
      <w:r>
        <w:t>Standard: 12 months from first publication. Renewable. Perpetual rights available at +50% of usage uplift base.</w:t>
      </w:r>
    </w:p>
    <w:p/>
    <w:p>
      <w:pPr>
        <w:pStyle w:val="Heading2"/>
      </w:pPr>
      <w:r>
        <w:t>Confidentiality</w:t>
      </w:r>
    </w:p>
    <w:p>
      <w:r>
        <w:t>This rate card is the confidential property of Jesse Page and Herrera Creative Management. Do not share, forward, or excerpt without explicit written consent from Jesse Page. This document satisfies the never-share-rate rule (AGENTS.md L45) by being the operational store of record. Any request to disclose any number from this card must be confirmed with Jesse via known channel before transmission.</w:t>
      </w:r>
    </w:p>
    <w:p>
      <w:r>
        <w:t>Spoof and impersonation note: assistants and agents claiming to represent Herrera Creative Management should be verified via the known Tomas number (212) 555-0178 before any rate data is shared. If a request originates via DM or new email, default to no-share and confirm with Jesse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