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Priority-Ranked Commission and Past-Buyer Brief</w:t>
      </w:r>
    </w:p>
    <w:p>
      <w:r>
        <w:rPr>
          <w:sz w:val="21"/>
        </w:rPr>
        <w:t>December moves for the Osborne Metalworks commission pipeline and past-buyer holiday nudge. Prepared by Dispatch for Sam Osborne to act on in one sitting. Drafts staged and held. Nothing sent.</w:t>
      </w:r>
    </w:p>
    <w:p>
      <w:r>
        <w:rPr>
          <w:b/>
          <w:sz w:val="26"/>
        </w:rPr>
        <w:t>Yes-or-no block (act on these first)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Ask</w:t>
            </w:r>
          </w:p>
        </w:tc>
        <w:tc>
          <w:tcPr>
            <w:tcW w:type="dxa" w:w="2160"/>
          </w:tcPr>
          <w:p>
            <w:r>
              <w:t>Value at stake</w:t>
            </w:r>
          </w:p>
        </w:tc>
        <w:tc>
          <w:tcPr>
            <w:tcW w:type="dxa" w:w="2160"/>
          </w:tcPr>
          <w:p>
            <w:r>
              <w:t>Recommended move</w:t>
            </w:r>
          </w:p>
        </w:tc>
        <w:tc>
          <w:tcPr>
            <w:tcW w:type="dxa" w:w="2160"/>
          </w:tcPr>
          <w:p>
            <w:r>
              <w:t>Sam's answer</w:t>
            </w:r>
          </w:p>
        </w:tc>
      </w:tr>
      <w:tr>
        <w:tc>
          <w:tcPr>
            <w:tcW w:type="dxa" w:w="2160"/>
          </w:tcPr>
          <w:p>
            <w:r>
              <w:t>Ellis Whitehorse. Accept a matching companion cuff commission for OMW-C-047?</w:t>
            </w:r>
          </w:p>
        </w:tc>
        <w:tc>
          <w:tcPr>
            <w:tcW w:type="dxa" w:w="2160"/>
          </w:tcPr>
          <w:p>
            <w:r>
              <w:t>~$720 sale, $400 deposit at intake</w:t>
            </w:r>
          </w:p>
        </w:tc>
        <w:tc>
          <w:tcPr>
            <w:tcW w:type="dxa" w:w="2160"/>
          </w:tcPr>
          <w:p>
            <w:r>
              <w:t>Yes. Same deposit terms as the reserved OMW-C-047, target delivery early February.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  <w:tr>
        <w:tc>
          <w:tcPr>
            <w:tcW w:type="dxa" w:w="2160"/>
          </w:tcPr>
          <w:p>
            <w:r>
              <w:t>Ruth Two-Feathers. Shift buckle delivery from Feb 15 to Feb 1?</w:t>
            </w:r>
          </w:p>
        </w:tc>
        <w:tc>
          <w:tcPr>
            <w:tcW w:type="dxa" w:w="2160"/>
          </w:tcPr>
          <w:p>
            <w:r>
              <w:t>$850 sale, $300 deposit cleared</w:t>
            </w:r>
          </w:p>
        </w:tc>
        <w:tc>
          <w:tcPr>
            <w:tcW w:type="dxa" w:w="2160"/>
          </w:tcPr>
          <w:p>
            <w:r>
              <w:t>Counter with Feb 8, holds the bench queue and gives Rafael a proper stone-setting window.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  <w:tr>
        <w:tc>
          <w:tcPr>
            <w:tcW w:type="dxa" w:w="2160"/>
          </w:tcPr>
          <w:p>
            <w:r>
              <w:t>Angela Ruiz (Red Earth). Feature the smaller cuff run at Red Earth in December?</w:t>
            </w:r>
          </w:p>
        </w:tc>
        <w:tc>
          <w:tcPr>
            <w:tcW w:type="dxa" w:w="2160"/>
          </w:tcPr>
          <w:p>
            <w:r>
              <w:t>Consignment window slot value</w:t>
            </w:r>
          </w:p>
        </w:tc>
        <w:tc>
          <w:tcPr>
            <w:tcW w:type="dxa" w:w="2160"/>
          </w:tcPr>
          <w:p>
            <w:r>
              <w:t>Yes. Allocation staged. Zoom walk-through queued for December 6, 2026.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</w:tbl>
    <w:p>
      <w:r>
        <w:rPr>
          <w:b/>
          <w:sz w:val="26"/>
        </w:rPr>
        <w:t>Kill-or-push block (open past sixty days without a deposit)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Lead</w:t>
            </w:r>
          </w:p>
        </w:tc>
        <w:tc>
          <w:tcPr>
            <w:tcW w:type="dxa" w:w="2160"/>
          </w:tcPr>
          <w:p>
            <w:r>
              <w:t>Last touch and stall reason</w:t>
            </w:r>
          </w:p>
        </w:tc>
        <w:tc>
          <w:tcPr>
            <w:tcW w:type="dxa" w:w="2160"/>
          </w:tcPr>
          <w:p>
            <w:r>
              <w:t>Recommendation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Renata Baxter, custom cuff</w:t>
            </w:r>
          </w:p>
        </w:tc>
        <w:tc>
          <w:tcPr>
            <w:tcW w:type="dxa" w:w="2160"/>
          </w:tcPr>
          <w:p>
            <w:r>
              <w:t>92 days open, stalled at stone selection since 2026-08-30</w:t>
            </w:r>
          </w:p>
        </w:tc>
        <w:tc>
          <w:tcPr>
            <w:tcW w:type="dxa" w:w="2160"/>
          </w:tcPr>
          <w:p>
            <w:r>
              <w:t>Kill</w:t>
            </w:r>
          </w:p>
        </w:tc>
        <w:tc>
          <w:tcPr>
            <w:tcW w:type="dxa" w:w="2160"/>
          </w:tcPr>
          <w:p>
            <w:r>
              <w:t>Close politely, offer a $50 future-work credit token.</w:t>
            </w:r>
          </w:p>
        </w:tc>
      </w:tr>
      <w:tr>
        <w:tc>
          <w:tcPr>
            <w:tcW w:type="dxa" w:w="2160"/>
          </w:tcPr>
          <w:p>
            <w:r>
              <w:t>Peter Hendricks, belt buckle</w:t>
            </w:r>
          </w:p>
        </w:tc>
        <w:tc>
          <w:tcPr>
            <w:tcW w:type="dxa" w:w="2160"/>
          </w:tcPr>
          <w:p>
            <w:r>
              <w:t>78 days open, went cold after 2026-09-14 email</w:t>
            </w:r>
          </w:p>
        </w:tc>
        <w:tc>
          <w:tcPr>
            <w:tcW w:type="dxa" w:w="2160"/>
          </w:tcPr>
          <w:p>
            <w:r>
              <w:t>Kill</w:t>
            </w:r>
          </w:p>
        </w:tc>
        <w:tc>
          <w:tcPr>
            <w:tcW w:type="dxa" w:w="2160"/>
          </w:tcPr>
          <w:p>
            <w:r>
              <w:t>Close politely, no credit.</w:t>
            </w:r>
          </w:p>
        </w:tc>
      </w:tr>
      <w:tr>
        <w:tc>
          <w:tcPr>
            <w:tcW w:type="dxa" w:w="2160"/>
          </w:tcPr>
          <w:p>
            <w:r>
              <w:t>Matias Chavez family, buckle set (3 pieces)</w:t>
            </w:r>
          </w:p>
        </w:tc>
        <w:tc>
          <w:tcPr>
            <w:tcW w:type="dxa" w:w="2160"/>
          </w:tcPr>
          <w:p>
            <w:r>
              <w:t>45 days open, no deposit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Send deposit request within seven days, hold price at $1,200 net.</w:t>
            </w:r>
          </w:p>
        </w:tc>
      </w:tr>
      <w:tr>
        <w:tc>
          <w:tcPr>
            <w:tcW w:type="dxa" w:w="2160"/>
          </w:tcPr>
          <w:p>
            <w:r>
              <w:t>Harlan Grange, custom stones cuff</w:t>
            </w:r>
          </w:p>
        </w:tc>
        <w:tc>
          <w:tcPr>
            <w:tcW w:type="dxa" w:w="2160"/>
          </w:tcPr>
          <w:p>
            <w:r>
              <w:t>30 days open, awaiting stone options from Sam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Send Sam-selected stone options for the Cerrillos and Kingman pair Sam pulled last week.</w:t>
            </w:r>
          </w:p>
        </w:tc>
      </w:tr>
    </w:tbl>
    <w:p>
      <w:r>
        <w:rPr>
          <w:b/>
          <w:sz w:val="26"/>
        </w:rPr>
        <w:t>Bench queue (open with a deposit)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Buyer</w:t>
            </w:r>
          </w:p>
        </w:tc>
        <w:tc>
          <w:tcPr>
            <w:tcW w:type="dxa" w:w="1728"/>
          </w:tcPr>
          <w:p>
            <w:r>
              <w:t>Piece committed</w:t>
            </w:r>
          </w:p>
        </w:tc>
        <w:tc>
          <w:tcPr>
            <w:tcW w:type="dxa" w:w="1728"/>
          </w:tcPr>
          <w:p>
            <w:r>
              <w:t>Deposit cleared</w:t>
            </w:r>
          </w:p>
        </w:tc>
        <w:tc>
          <w:tcPr>
            <w:tcW w:type="dxa" w:w="1728"/>
          </w:tcPr>
          <w:p>
            <w:r>
              <w:t>Delivery target</w:t>
            </w:r>
          </w:p>
        </w:tc>
        <w:tc>
          <w:tcPr>
            <w:tcW w:type="dxa" w:w="1728"/>
          </w:tcPr>
          <w:p>
            <w:r>
              <w:t>Reservation flag status against Notion catalogue</w:t>
            </w:r>
          </w:p>
        </w:tc>
      </w:tr>
      <w:tr>
        <w:tc>
          <w:tcPr>
            <w:tcW w:type="dxa" w:w="1728"/>
          </w:tcPr>
          <w:p>
            <w:r>
              <w:t>Ellis Whitehorse</w:t>
            </w:r>
          </w:p>
        </w:tc>
        <w:tc>
          <w:tcPr>
            <w:tcW w:type="dxa" w:w="1728"/>
          </w:tcPr>
          <w:p>
            <w:r>
              <w:t>OMW-C-047 Zuni Turquoise heavy cuff</w:t>
            </w:r>
          </w:p>
        </w:tc>
        <w:tc>
          <w:tcPr>
            <w:tcW w:type="dxa" w:w="1728"/>
          </w:tcPr>
          <w:p>
            <w:r>
              <w:t>$400 cleared 2026-11-04 via Stripe</w:t>
            </w:r>
          </w:p>
        </w:tc>
        <w:tc>
          <w:tcPr>
            <w:tcW w:type="dxa" w:w="1728"/>
          </w:tcPr>
          <w:p>
            <w:r>
              <w:t>November 20, 2026</w:t>
            </w:r>
          </w:p>
        </w:tc>
        <w:tc>
          <w:tcPr>
            <w:tcW w:type="dxa" w:w="1728"/>
          </w:tcPr>
          <w:p>
            <w:r>
              <w:t>Notion reservation entry confirmed, Airtable finished-flag stale, Stripe deposit cleared. Piece pulled from Turquoise Trail December 4 shipment.</w:t>
            </w:r>
          </w:p>
        </w:tc>
      </w:tr>
      <w:tr>
        <w:tc>
          <w:tcPr>
            <w:tcW w:type="dxa" w:w="1728"/>
          </w:tcPr>
          <w:p>
            <w:r>
              <w:t>Ruth Two-Feathers</w:t>
            </w:r>
          </w:p>
        </w:tc>
        <w:tc>
          <w:tcPr>
            <w:tcW w:type="dxa" w:w="1728"/>
          </w:tcPr>
          <w:p>
            <w:r>
              <w:t>custom buckle, Kingman center</w:t>
            </w:r>
          </w:p>
        </w:tc>
        <w:tc>
          <w:tcPr>
            <w:tcW w:type="dxa" w:w="1728"/>
          </w:tcPr>
          <w:p>
            <w:r>
              <w:t>$300 cleared 2026-10-22 via Stripe</w:t>
            </w:r>
          </w:p>
        </w:tc>
        <w:tc>
          <w:tcPr>
            <w:tcW w:type="dxa" w:w="1728"/>
          </w:tcPr>
          <w:p>
            <w:r>
              <w:t>February 15, 2027 (pending Sam call on Feb 8 shift)</w:t>
            </w:r>
          </w:p>
        </w:tc>
        <w:tc>
          <w:tcPr>
            <w:tcW w:type="dxa" w:w="1728"/>
          </w:tcPr>
          <w:p>
            <w:r>
              <w:t>Notion reservation entry confirmed</w:t>
            </w:r>
          </w:p>
        </w:tc>
      </w:tr>
      <w:tr>
        <w:tc>
          <w:tcPr>
            <w:tcW w:type="dxa" w:w="1728"/>
          </w:tcPr>
          <w:p>
            <w:r>
              <w:t>Delphine McKellen</w:t>
            </w:r>
          </w:p>
        </w:tc>
        <w:tc>
          <w:tcPr>
            <w:tcW w:type="dxa" w:w="1728"/>
          </w:tcPr>
          <w:p>
            <w:r>
              <w:t>custom bolo tie, Sleeping Beauty cabochon</w:t>
            </w:r>
          </w:p>
        </w:tc>
        <w:tc>
          <w:tcPr>
            <w:tcW w:type="dxa" w:w="1728"/>
          </w:tcPr>
          <w:p>
            <w:r>
              <w:t>$150 cleared 2026-11-10 via PayPal</w:t>
            </w:r>
          </w:p>
        </w:tc>
        <w:tc>
          <w:tcPr>
            <w:tcW w:type="dxa" w:w="1728"/>
          </w:tcPr>
          <w:p>
            <w:r>
              <w:t>January 10, 2027</w:t>
            </w:r>
          </w:p>
        </w:tc>
        <w:tc>
          <w:tcPr>
            <w:tcW w:type="dxa" w:w="1728"/>
          </w:tcPr>
          <w:p>
            <w:r>
              <w:t>Notion reservation entry confirmed</w:t>
            </w:r>
          </w:p>
        </w:tc>
      </w:tr>
      <w:tr>
        <w:tc>
          <w:tcPr>
            <w:tcW w:type="dxa" w:w="1728"/>
          </w:tcPr>
          <w:p>
            <w:r>
              <w:t>Amelia Ortega</w:t>
            </w:r>
          </w:p>
        </w:tc>
        <w:tc>
          <w:tcPr>
            <w:tcW w:type="dxa" w:w="1728"/>
          </w:tcPr>
          <w:p>
            <w:r>
              <w:t>commission cuff, awaiting stone selection call</w:t>
            </w:r>
          </w:p>
        </w:tc>
        <w:tc>
          <w:tcPr>
            <w:tcW w:type="dxa" w:w="1728"/>
          </w:tcPr>
          <w:p>
            <w:r>
              <w:t>$400 cleared 2026-10-15 via Stripe</w:t>
            </w:r>
          </w:p>
        </w:tc>
        <w:tc>
          <w:tcPr>
            <w:tcW w:type="dxa" w:w="1728"/>
          </w:tcPr>
          <w:p>
            <w:r>
              <w:t>January 25, 2027</w:t>
            </w:r>
          </w:p>
        </w:tc>
        <w:tc>
          <w:tcPr>
            <w:tcW w:type="dxa" w:w="1728"/>
          </w:tcPr>
          <w:p>
            <w:r>
              <w:t>Notion reservation entry confirmed, stone selection call open</w:t>
            </w:r>
          </w:p>
        </w:tc>
      </w:tr>
    </w:tbl>
    <w:p>
      <w:r>
        <w:rPr>
          <w:b/>
          <w:sz w:val="26"/>
        </w:rPr>
        <w:t>Segment build for the past-buyer holiday nudge</w:t>
      </w:r>
    </w:p>
    <w:p>
      <w:pPr>
        <w:pStyle w:val="ListBullet"/>
      </w:pPr>
      <w:r>
        <w:rPr>
          <w:sz w:val="21"/>
        </w:rPr>
        <w:t>Gallery-consigned voice segment. Built from HubSpot as authoritative consent source, cross-checked against Klaviyo, Mailchimp, ActiveCampaign, and Intercom. Segment size after opt-out reconciliation and consent-conflict exclusion is 47 recipients.</w:t>
      </w:r>
    </w:p>
    <w:p>
      <w:pPr>
        <w:pStyle w:val="ListBullet"/>
      </w:pPr>
      <w:r>
        <w:rPr>
          <w:sz w:val="21"/>
        </w:rPr>
        <w:t>Direct Etsy-and-Instagram voice segment. Built from HubSpot as authoritative consent source, cross-checked against Etsy past-buyer list, Klaviyo, and Mailchimp. Segment size after opt-out reconciliation and consent-conflict exclusion is 83 recipients.</w:t>
      </w:r>
    </w:p>
    <w:p>
      <w:pPr>
        <w:pStyle w:val="ListBullet"/>
      </w:pPr>
      <w:r>
        <w:rPr>
          <w:sz w:val="21"/>
        </w:rPr>
        <w:t>Drafts staged as native Gmail draft records under sam.osborne@Finthesiss.ai. Neither sent, neither scheduled. Sam approves before anything leaves.</w:t>
      </w:r>
    </w:p>
    <w:p>
      <w:r>
        <w:rPr>
          <w:b/>
          <w:sz w:val="26"/>
        </w:rPr>
        <w:t>Consent conflict block</w:t>
      </w:r>
    </w:p>
    <w:p>
      <w:r>
        <w:rPr>
          <w:sz w:val="21"/>
        </w:rPr>
        <w:t>One buyer surfaces where two consent lists disagree. Excluded from both segments and from both draft To lines. Flagged by name for Sam's decision.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Buyer</w:t>
            </w:r>
          </w:p>
        </w:tc>
        <w:tc>
          <w:tcPr>
            <w:tcW w:type="dxa" w:w="1728"/>
          </w:tcPr>
          <w:p>
            <w:r>
              <w:t>HubSpot state (authoritative)</w:t>
            </w:r>
          </w:p>
        </w:tc>
        <w:tc>
          <w:tcPr>
            <w:tcW w:type="dxa" w:w="1728"/>
          </w:tcPr>
          <w:p>
            <w:r>
              <w:t>Klaviyo state (out of sync)</w:t>
            </w:r>
          </w:p>
        </w:tc>
        <w:tc>
          <w:tcPr>
            <w:tcW w:type="dxa" w:w="1728"/>
          </w:tcPr>
          <w:p>
            <w:r>
              <w:t>Winner rule applied</w:t>
            </w:r>
          </w:p>
        </w:tc>
        <w:tc>
          <w:tcPr>
            <w:tcW w:type="dxa" w:w="1728"/>
          </w:tcPr>
          <w:p>
            <w:r>
              <w:t>Exclusion decision</w:t>
            </w:r>
          </w:p>
        </w:tc>
      </w:tr>
      <w:tr>
        <w:tc>
          <w:tcPr>
            <w:tcW w:type="dxa" w:w="1728"/>
          </w:tcPr>
          <w:p>
            <w:r>
              <w:t>Marisol Vega (marisol.vega.mv@example.com)</w:t>
            </w:r>
          </w:p>
        </w:tc>
        <w:tc>
          <w:tcPr>
            <w:tcW w:type="dxa" w:w="1728"/>
          </w:tcPr>
          <w:p>
            <w:r>
              <w:t>unsubscribed 2026-08-14, tied to Freshdesk warranty complaint F-097 about a loose stone in an OMW-B-011 bolo tie</w:t>
            </w:r>
          </w:p>
        </w:tc>
        <w:tc>
          <w:tcPr>
            <w:tcW w:type="dxa" w:w="1728"/>
          </w:tcPr>
          <w:p>
            <w:r>
              <w:t>still tagged engaged-past-buyer, unsubscribe never synced back from HubSpot</w:t>
            </w:r>
          </w:p>
        </w:tc>
        <w:tc>
          <w:tcPr>
            <w:tcW w:type="dxa" w:w="1728"/>
          </w:tcPr>
          <w:p>
            <w:r>
              <w:t>HubSpot wins as authoritative consent record</w:t>
            </w:r>
          </w:p>
        </w:tc>
        <w:tc>
          <w:tcPr>
            <w:tcW w:type="dxa" w:w="1728"/>
          </w:tcPr>
          <w:p>
            <w:r>
              <w:t>Excluded from both draft To lines. Held for Sam if he wants to reach out personally about the warranty complaint.</w:t>
            </w:r>
          </w:p>
        </w:tc>
      </w:tr>
    </w:tbl>
    <w:p>
      <w:r>
        <w:rPr>
          <w:b/>
          <w:sz w:val="26"/>
        </w:rPr>
        <w:t>Held for sign-off</w:t>
      </w:r>
    </w:p>
    <w:p>
      <w:pPr>
        <w:pStyle w:val="ListBullet"/>
      </w:pPr>
      <w:r>
        <w:rPr>
          <w:sz w:val="21"/>
        </w:rPr>
        <w:t>Adelina Vasquez, new-contact Instagram DM inquiry about a Sleeping Beauty cuff for a 7-inch wrist. First-time contact. New-contact confirm rule applies. Held for Sam.</w:t>
      </w:r>
    </w:p>
    <w:p>
      <w:pPr>
        <w:pStyle w:val="ListBullet"/>
      </w:pPr>
      <w:r>
        <w:rPr>
          <w:sz w:val="21"/>
        </w:rPr>
        <w:t>Yvette Munro, return question in Intercom on a Sleeping Beauty piece with no purchase on record. Identity verification held for Sam.</w:t>
      </w:r>
    </w:p>
    <w:p>
      <w:pPr>
        <w:pStyle w:val="ListBullet"/>
      </w:pPr>
      <w:r>
        <w:rPr>
          <w:sz w:val="21"/>
        </w:rPr>
        <w:t>Whitehorse companion cuff yes-or-no needs Sam's initial before Dispatch sends the intake form.</w:t>
      </w:r>
    </w:p>
    <w:p>
      <w:r>
        <w:rPr>
          <w:b/>
          <w:sz w:val="26"/>
        </w:rPr>
        <w:t>Trusted vs set aside close</w:t>
      </w:r>
    </w:p>
    <w:p>
      <w:r>
        <w:rPr>
          <w:sz w:val="21"/>
        </w:rPr>
        <w:t>Newest and most authoritative source wins on every disagreement worked through in this brief. The consent-conflict reconciliation and the reservation cross-check were the two live disagreements.</w:t>
      </w:r>
    </w:p>
    <w:p>
      <w:pPr>
        <w:pStyle w:val="ListBullet"/>
      </w:pPr>
      <w:r>
        <w:rPr>
          <w:sz w:val="21"/>
        </w:rPr>
        <w:t>Trusted: HubSpot on Marisol Vega consent status (authoritative unsubscribe record from 2026-08-14, tied to Freshdesk warranty complaint F-097), Stripe deposit history on the Ellis Whitehorse OMW-C-047 reservation (deposit cleared 2026-11-04), Notion commission catalogue reservation entries for every bench-queue row.</w:t>
      </w:r>
    </w:p>
    <w:p>
      <w:pPr>
        <w:pStyle w:val="ListBullet"/>
      </w:pPr>
      <w:r>
        <w:rPr>
          <w:sz w:val="21"/>
        </w:rPr>
        <w:t>Set aside: Klaviyo engagement tag on Marisol Vega (out of sync with HubSpot, unsubscribe never propagated back), any downstream marketing list where the consent record disagreed with HubSpot on any past-buyer named in either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